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88" w:lineRule="auto"/>
        <w:jc w:val="center"/>
        <w:rPr>
          <w:rFonts w:hint="eastAsia" w:eastAsia="黑体"/>
          <w:kern w:val="2"/>
          <w:sz w:val="28"/>
          <w:szCs w:val="28"/>
        </w:rPr>
      </w:pPr>
      <w:r>
        <w:rPr>
          <w:rFonts w:hint="eastAsia" w:eastAsia="黑体"/>
          <w:kern w:val="2"/>
          <w:sz w:val="28"/>
          <w:szCs w:val="28"/>
        </w:rPr>
        <w:t>吉林油田</w:t>
      </w:r>
      <w:r>
        <w:rPr>
          <w:rFonts w:hint="eastAsia" w:ascii="黑体" w:eastAsia="黑体" w:cs="黑体"/>
          <w:color w:val="0000C8"/>
          <w:kern w:val="2"/>
          <w:sz w:val="28"/>
          <w:szCs w:val="28"/>
          <w:lang w:eastAsia="zh-CN"/>
        </w:rPr>
        <w:t>水力锚SLM（九牙）</w:t>
      </w:r>
      <w:r>
        <w:rPr>
          <w:rFonts w:hint="eastAsia" w:ascii="黑体" w:eastAsia="黑体" w:cs="黑体"/>
          <w:color w:val="auto"/>
          <w:kern w:val="2"/>
          <w:sz w:val="28"/>
          <w:szCs w:val="28"/>
          <w:lang w:eastAsia="zh-CN"/>
        </w:rPr>
        <w:t>物资</w:t>
      </w:r>
      <w:r>
        <w:rPr>
          <w:rFonts w:hint="eastAsia" w:eastAsia="黑体"/>
          <w:kern w:val="2"/>
          <w:sz w:val="28"/>
          <w:szCs w:val="28"/>
        </w:rPr>
        <w:t>采购招标公告</w:t>
      </w:r>
    </w:p>
    <w:p>
      <w:pPr>
        <w:spacing w:line="288" w:lineRule="auto"/>
        <w:ind w:firstLine="420"/>
        <w:jc w:val="right"/>
        <w:rPr>
          <w:rFonts w:hint="eastAsia" w:ascii="黑体" w:hAnsi="黑体" w:eastAsia="黑体" w:cs="黑体"/>
          <w:color w:val="0000CC"/>
          <w:sz w:val="28"/>
          <w:szCs w:val="28"/>
          <w:u w:val="single"/>
          <w:lang w:eastAsia="zh-CN"/>
        </w:rPr>
      </w:pPr>
      <w:r>
        <w:t xml:space="preserve">                                </w:t>
      </w:r>
      <w:r>
        <w:rPr>
          <w:rFonts w:hint="eastAsia" w:eastAsia="黑体"/>
          <w:kern w:val="2"/>
          <w:sz w:val="28"/>
          <w:szCs w:val="28"/>
          <w:lang w:val="zh-CN"/>
        </w:rPr>
        <w:t>招标编号：</w:t>
      </w:r>
      <w:r>
        <w:rPr>
          <w:rFonts w:hint="eastAsia" w:ascii="黑体" w:hAnsi="黑体" w:eastAsia="黑体" w:cs="黑体"/>
          <w:sz w:val="28"/>
          <w:szCs w:val="28"/>
          <w:lang w:eastAsia="zh-CN"/>
        </w:rPr>
        <w:t>JLYT-ZBZX-2020-WZ-116</w:t>
      </w:r>
    </w:p>
    <w:p>
      <w:pPr>
        <w:spacing w:line="288" w:lineRule="auto"/>
        <w:ind w:firstLine="420"/>
        <w:jc w:val="right"/>
        <w:rPr>
          <w:rFonts w:hint="eastAsia" w:ascii="黑体" w:hAnsi="黑体" w:eastAsia="黑体" w:cs="黑体"/>
          <w:color w:val="0000CC"/>
          <w:sz w:val="28"/>
          <w:szCs w:val="28"/>
          <w:u w:val="single"/>
        </w:rPr>
      </w:pPr>
    </w:p>
    <w:p>
      <w:pPr>
        <w:rPr>
          <w:rFonts w:ascii="Arial" w:hAnsi="Arial" w:eastAsia="黑体"/>
          <w:b/>
          <w:bCs/>
          <w:kern w:val="2"/>
          <w:sz w:val="32"/>
          <w:szCs w:val="32"/>
        </w:rPr>
      </w:pPr>
      <w:bookmarkStart w:id="0" w:name="_Toc347086849"/>
      <w:bookmarkStart w:id="1" w:name="_Toc347086983"/>
      <w:bookmarkStart w:id="2" w:name="_Toc347209678"/>
      <w:bookmarkStart w:id="3" w:name="_Toc489354666"/>
      <w:bookmarkStart w:id="4" w:name="_Toc520895294"/>
      <w:bookmarkStart w:id="5" w:name="_Toc17902421"/>
      <w:r>
        <w:rPr>
          <w:rFonts w:hint="eastAsia" w:ascii="Arial" w:hAnsi="Arial" w:eastAsia="黑体"/>
          <w:b/>
          <w:bCs/>
          <w:kern w:val="2"/>
          <w:sz w:val="32"/>
          <w:szCs w:val="32"/>
        </w:rPr>
        <w:t>1.招标条件</w:t>
      </w:r>
      <w:bookmarkEnd w:id="0"/>
      <w:bookmarkEnd w:id="1"/>
      <w:bookmarkEnd w:id="2"/>
      <w:bookmarkEnd w:id="3"/>
      <w:bookmarkEnd w:id="4"/>
      <w:bookmarkEnd w:id="5"/>
    </w:p>
    <w:p>
      <w:pPr>
        <w:overflowPunct w:val="0"/>
        <w:spacing w:line="288" w:lineRule="auto"/>
        <w:ind w:firstLine="420"/>
        <w:rPr>
          <w:rFonts w:hAnsi="宋体" w:cs="宋体"/>
          <w:szCs w:val="21"/>
        </w:rPr>
      </w:pPr>
      <w:bookmarkStart w:id="6" w:name="_Toc347086984"/>
      <w:bookmarkStart w:id="7" w:name="_Toc347086850"/>
      <w:bookmarkStart w:id="8" w:name="_Toc347209679"/>
      <w:r>
        <w:rPr>
          <w:rFonts w:hint="eastAsia"/>
          <w:kern w:val="2"/>
          <w:sz w:val="21"/>
          <w:szCs w:val="21"/>
        </w:rPr>
        <w:t>本招标项目招标人为中国石油天然气股份有限公司吉林油田分公司，招标机构为中国石油天然气股份有限公司吉林油田分公司招标中心。招标项目资金（资金来源）已落实，该项目已具备招标条件，现进行公开招标。</w:t>
      </w:r>
    </w:p>
    <w:p>
      <w:pPr>
        <w:rPr>
          <w:rFonts w:ascii="Arial" w:hAnsi="Arial" w:eastAsia="黑体"/>
          <w:b/>
          <w:bCs/>
          <w:kern w:val="2"/>
          <w:sz w:val="32"/>
          <w:szCs w:val="32"/>
        </w:rPr>
      </w:pPr>
      <w:bookmarkStart w:id="9" w:name="_Toc489354667"/>
      <w:bookmarkStart w:id="10" w:name="_Toc520895295"/>
      <w:bookmarkStart w:id="11" w:name="_Toc17902422"/>
      <w:r>
        <w:rPr>
          <w:rFonts w:hint="eastAsia" w:ascii="Arial" w:hAnsi="Arial" w:eastAsia="黑体"/>
          <w:b/>
          <w:bCs/>
          <w:kern w:val="2"/>
          <w:sz w:val="32"/>
          <w:szCs w:val="32"/>
        </w:rPr>
        <w:t>2.项目概况与招标范围</w:t>
      </w:r>
      <w:bookmarkEnd w:id="6"/>
      <w:bookmarkEnd w:id="7"/>
      <w:bookmarkEnd w:id="8"/>
      <w:bookmarkEnd w:id="9"/>
      <w:bookmarkEnd w:id="10"/>
      <w:bookmarkEnd w:id="11"/>
      <w:r>
        <w:rPr>
          <w:rFonts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2.1项目概况</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2.1.1本项目预计采购金额</w:t>
      </w:r>
      <w:r>
        <w:rPr>
          <w:rFonts w:hint="eastAsia" w:ascii="宋体" w:hAnsi="宋体" w:cs="宋体"/>
          <w:color w:val="0000C8"/>
          <w:sz w:val="21"/>
          <w:szCs w:val="21"/>
          <w:lang w:val="en-US" w:eastAsia="zh-CN"/>
        </w:rPr>
        <w:t>700</w:t>
      </w:r>
      <w:r>
        <w:rPr>
          <w:rFonts w:hint="eastAsia" w:ascii="宋体" w:hAnsi="宋体" w:cs="宋体"/>
          <w:color w:val="0000C8"/>
          <w:sz w:val="21"/>
          <w:szCs w:val="21"/>
        </w:rPr>
        <w:t>万元（不含增值税），定商定价不定量</w:t>
      </w:r>
      <w:r>
        <w:rPr>
          <w:rFonts w:hint="eastAsia" w:ascii="宋体" w:hAnsi="宋体" w:cs="宋体"/>
          <w:sz w:val="21"/>
          <w:szCs w:val="21"/>
        </w:rPr>
        <w:t>采购，</w:t>
      </w:r>
      <w:r>
        <w:rPr>
          <w:rFonts w:hint="eastAsia" w:ascii="宋体" w:hAnsi="宋体" w:cs="宋体"/>
          <w:color w:val="0000C8"/>
          <w:sz w:val="21"/>
          <w:szCs w:val="21"/>
        </w:rPr>
        <w:t>需求数量以实际发生为准。项目执行期限为合同签订之日起</w:t>
      </w:r>
      <w:r>
        <w:rPr>
          <w:rFonts w:hint="eastAsia" w:ascii="宋体" w:hAnsi="宋体" w:cs="宋体"/>
          <w:color w:val="0000C8"/>
          <w:sz w:val="21"/>
          <w:szCs w:val="21"/>
          <w:lang w:eastAsia="zh-CN"/>
        </w:rPr>
        <w:t>二</w:t>
      </w:r>
      <w:r>
        <w:rPr>
          <w:rFonts w:hint="eastAsia" w:ascii="宋体" w:hAnsi="宋体" w:cs="宋体"/>
          <w:color w:val="0000C8"/>
          <w:sz w:val="21"/>
          <w:szCs w:val="21"/>
        </w:rPr>
        <w:t>年。中标厂家价格上载中石油物采系统，实施目录采购。价格有效期2年</w:t>
      </w:r>
      <w:r>
        <w:rPr>
          <w:rFonts w:hint="eastAsia" w:ascii="宋体" w:hAnsi="宋体" w:cs="宋体"/>
          <w:color w:val="0000C8"/>
          <w:sz w:val="21"/>
          <w:szCs w:val="21"/>
          <w:lang w:eastAsia="zh-CN"/>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2.1.2 实施或交货地点：</w:t>
      </w:r>
      <w:r>
        <w:rPr>
          <w:rFonts w:hint="eastAsia" w:ascii="宋体" w:hAnsi="宋体" w:cs="宋体"/>
          <w:color w:val="0000FF"/>
          <w:kern w:val="0"/>
          <w:szCs w:val="21"/>
        </w:rPr>
        <w:t>吉林油田使用单位施工现场</w:t>
      </w:r>
      <w:r>
        <w:rPr>
          <w:rFonts w:hint="eastAsia" w:ascii="宋体" w:hAnsi="宋体" w:cs="宋体"/>
          <w:color w:val="0000FF"/>
          <w:sz w:val="21"/>
          <w:szCs w:val="21"/>
        </w:rPr>
        <w:t>；</w:t>
      </w:r>
    </w:p>
    <w:p>
      <w:pPr>
        <w:spacing w:line="288" w:lineRule="auto"/>
        <w:ind w:firstLine="420" w:firstLineChars="200"/>
        <w:rPr>
          <w:rFonts w:hint="eastAsia" w:ascii="宋体" w:hAnsi="宋体" w:cs="宋体"/>
          <w:color w:val="0000C8"/>
          <w:sz w:val="21"/>
          <w:szCs w:val="21"/>
        </w:rPr>
      </w:pPr>
      <w:r>
        <w:rPr>
          <w:rFonts w:hint="eastAsia" w:ascii="宋体" w:hAnsi="宋体" w:cs="宋体"/>
          <w:sz w:val="21"/>
          <w:szCs w:val="21"/>
        </w:rPr>
        <w:t>2.1.3交货期或供货周期：</w:t>
      </w:r>
      <w:r>
        <w:rPr>
          <w:rFonts w:hint="eastAsia" w:ascii="宋体" w:hAnsi="宋体" w:cs="宋体"/>
          <w:color w:val="0000FF"/>
          <w:kern w:val="0"/>
          <w:szCs w:val="21"/>
        </w:rPr>
        <w:t>自采购订单签订之日起60日内交货；</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2.1.4运输方式：</w:t>
      </w:r>
      <w:r>
        <w:rPr>
          <w:rFonts w:hint="eastAsia" w:cs="宋体"/>
          <w:color w:val="000FDC"/>
          <w:szCs w:val="21"/>
          <w:lang w:eastAsia="zh-CN"/>
        </w:rPr>
        <w:t>公路或铁路运输</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2.1.5交货方式：</w:t>
      </w:r>
      <w:r>
        <w:rPr>
          <w:rFonts w:hint="eastAsia" w:ascii="宋体" w:hAnsi="宋体" w:cs="宋体"/>
          <w:kern w:val="0"/>
          <w:szCs w:val="21"/>
        </w:rPr>
        <w:t>乙方送货</w:t>
      </w:r>
      <w:r>
        <w:rPr>
          <w:rFonts w:hint="eastAsia" w:ascii="宋体" w:hAnsi="宋体" w:cs="宋体"/>
          <w:sz w:val="21"/>
          <w:szCs w:val="21"/>
        </w:rPr>
        <w:t>；</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2.1.6验收方式：按技术要求及合同相关条款验收；</w:t>
      </w:r>
    </w:p>
    <w:p>
      <w:pPr>
        <w:spacing w:line="288" w:lineRule="auto"/>
        <w:ind w:firstLine="420" w:firstLineChars="200"/>
        <w:rPr>
          <w:rFonts w:hint="eastAsia" w:ascii="宋体" w:hAnsi="宋体" w:cs="宋体"/>
          <w:color w:val="0000CC"/>
          <w:sz w:val="21"/>
          <w:szCs w:val="21"/>
        </w:rPr>
      </w:pPr>
      <w:r>
        <w:rPr>
          <w:rFonts w:hint="eastAsia" w:ascii="宋体" w:hAnsi="宋体" w:cs="宋体"/>
          <w:sz w:val="21"/>
          <w:szCs w:val="21"/>
        </w:rPr>
        <w:t>2.1.7质量保证期：</w:t>
      </w:r>
      <w:r>
        <w:rPr>
          <w:rFonts w:hint="eastAsia" w:ascii="宋体" w:hAnsi="宋体" w:cs="宋体"/>
          <w:color w:val="0000C8"/>
          <w:sz w:val="21"/>
          <w:szCs w:val="21"/>
        </w:rPr>
        <w:t>自验收合格之日起</w:t>
      </w:r>
      <w:r>
        <w:rPr>
          <w:rFonts w:hint="eastAsia" w:ascii="宋体" w:hAnsi="宋体" w:cs="宋体"/>
          <w:color w:val="0000C8"/>
          <w:sz w:val="21"/>
          <w:szCs w:val="21"/>
          <w:lang w:val="en-US" w:eastAsia="zh-CN"/>
        </w:rPr>
        <w:t>1</w:t>
      </w:r>
      <w:r>
        <w:rPr>
          <w:rFonts w:hint="eastAsia" w:ascii="宋体" w:hAnsi="宋体" w:cs="宋体"/>
          <w:color w:val="0000C8"/>
          <w:sz w:val="21"/>
          <w:szCs w:val="21"/>
        </w:rPr>
        <w:t>年</w:t>
      </w:r>
      <w:r>
        <w:rPr>
          <w:rFonts w:hint="eastAsia" w:ascii="宋体" w:hAnsi="宋体" w:cs="宋体"/>
          <w:color w:val="0000CC"/>
          <w:sz w:val="21"/>
          <w:szCs w:val="21"/>
        </w:rPr>
        <w:t>；</w:t>
      </w:r>
    </w:p>
    <w:p>
      <w:pPr>
        <w:spacing w:line="288" w:lineRule="auto"/>
        <w:ind w:firstLine="420" w:firstLineChars="200"/>
        <w:rPr>
          <w:rFonts w:hint="eastAsia" w:ascii="宋体" w:hAnsi="宋体" w:cs="宋体"/>
          <w:color w:val="333333"/>
          <w:sz w:val="21"/>
          <w:szCs w:val="21"/>
        </w:rPr>
      </w:pPr>
      <w:r>
        <w:rPr>
          <w:rFonts w:hint="eastAsia" w:ascii="宋体" w:hAnsi="宋体" w:cs="宋体"/>
          <w:sz w:val="21"/>
          <w:szCs w:val="21"/>
        </w:rPr>
        <w:t>2.1.8质量标准或技术要求：</w:t>
      </w:r>
      <w:r>
        <w:rPr>
          <w:rFonts w:hint="eastAsia" w:ascii="宋体" w:hAnsi="宋体" w:cs="宋体"/>
          <w:color w:val="333333"/>
          <w:sz w:val="21"/>
          <w:szCs w:val="21"/>
        </w:rPr>
        <w:t>详见《附件2：技术要求》。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2.2招标范围</w:t>
      </w:r>
    </w:p>
    <w:p>
      <w:pPr>
        <w:spacing w:line="288"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rPr>
        <w:t>2.2.1货物名称及规格：详见《附件1：货物需求一览表》；</w:t>
      </w:r>
    </w:p>
    <w:p>
      <w:pPr>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2.2.2标包划分</w:t>
      </w:r>
      <w:r>
        <w:rPr>
          <w:rFonts w:hint="eastAsia" w:ascii="宋体" w:hAnsi="宋体" w:cs="宋体"/>
          <w:sz w:val="21"/>
          <w:szCs w:val="21"/>
          <w:highlight w:val="none"/>
          <w:lang w:eastAsia="zh-CN"/>
        </w:rPr>
        <w:t>：</w:t>
      </w:r>
      <w:r>
        <w:rPr>
          <w:rFonts w:hint="eastAsia" w:ascii="宋体" w:hAnsi="宋体" w:cs="宋体"/>
          <w:color w:val="0000C8"/>
          <w:sz w:val="21"/>
          <w:szCs w:val="21"/>
          <w:highlight w:val="none"/>
          <w:lang w:val="en-US" w:eastAsia="zh-CN"/>
        </w:rPr>
        <w:t>1</w:t>
      </w:r>
      <w:r>
        <w:rPr>
          <w:rFonts w:hint="eastAsia" w:ascii="宋体" w:hAnsi="宋体" w:cs="宋体"/>
          <w:color w:val="0000C8"/>
          <w:sz w:val="21"/>
          <w:szCs w:val="21"/>
          <w:highlight w:val="none"/>
        </w:rPr>
        <w:t>个标包</w:t>
      </w:r>
      <w:r>
        <w:rPr>
          <w:rFonts w:hint="eastAsia" w:ascii="宋体" w:hAnsi="宋体" w:cs="宋体"/>
          <w:color w:val="0000C8"/>
          <w:sz w:val="21"/>
          <w:szCs w:val="21"/>
          <w:highlight w:val="none"/>
          <w:lang w:eastAsia="zh-CN"/>
        </w:rPr>
        <w:t>；</w:t>
      </w:r>
    </w:p>
    <w:p>
      <w:pPr>
        <w:spacing w:line="288" w:lineRule="auto"/>
        <w:ind w:firstLine="420" w:firstLineChars="200"/>
        <w:rPr>
          <w:rFonts w:hint="eastAsia" w:ascii="宋体" w:hAnsi="宋体" w:cs="宋体"/>
          <w:color w:val="0000C8"/>
          <w:sz w:val="21"/>
          <w:szCs w:val="21"/>
          <w:lang w:eastAsia="zh-CN"/>
        </w:rPr>
      </w:pPr>
      <w:r>
        <w:rPr>
          <w:rFonts w:hint="eastAsia" w:ascii="宋体" w:hAnsi="宋体" w:cs="宋体"/>
          <w:sz w:val="21"/>
          <w:szCs w:val="21"/>
          <w:highlight w:val="none"/>
          <w:lang w:val="en-US" w:eastAsia="zh-CN"/>
        </w:rPr>
        <w:t>2.2.3</w:t>
      </w:r>
      <w:r>
        <w:rPr>
          <w:rFonts w:hint="eastAsia" w:ascii="宋体" w:hAnsi="宋体" w:cs="宋体"/>
          <w:sz w:val="21"/>
          <w:szCs w:val="21"/>
          <w:highlight w:val="none"/>
        </w:rPr>
        <w:t>中标人数量：</w:t>
      </w:r>
      <w:r>
        <w:rPr>
          <w:rFonts w:hint="eastAsia" w:ascii="宋体" w:hAnsi="宋体" w:cs="宋体"/>
          <w:color w:val="0000C8"/>
          <w:sz w:val="21"/>
          <w:szCs w:val="21"/>
          <w:lang w:val="en-US" w:eastAsia="zh-CN"/>
        </w:rPr>
        <w:t>1家</w:t>
      </w:r>
      <w:r>
        <w:rPr>
          <w:rFonts w:hint="eastAsia" w:ascii="宋体" w:hAnsi="宋体" w:cs="宋体"/>
          <w:color w:val="0000C8"/>
          <w:sz w:val="21"/>
          <w:szCs w:val="21"/>
          <w:lang w:eastAsia="zh-CN"/>
        </w:rPr>
        <w:t>；</w:t>
      </w:r>
    </w:p>
    <w:p>
      <w:pPr>
        <w:spacing w:line="288" w:lineRule="auto"/>
        <w:ind w:firstLine="420" w:firstLineChars="200"/>
        <w:rPr>
          <w:rFonts w:hint="default" w:ascii="宋体" w:hAnsi="宋体" w:eastAsia="宋体" w:cs="宋体"/>
          <w:color w:val="0000C8"/>
          <w:sz w:val="21"/>
          <w:szCs w:val="21"/>
          <w:lang w:val="en-US" w:eastAsia="zh-CN"/>
        </w:rPr>
      </w:pPr>
      <w:r>
        <w:rPr>
          <w:rFonts w:hint="eastAsia" w:ascii="宋体" w:hAnsi="宋体" w:cs="宋体"/>
          <w:sz w:val="21"/>
          <w:szCs w:val="21"/>
          <w:highlight w:val="none"/>
          <w:lang w:val="en-US" w:eastAsia="zh-CN"/>
        </w:rPr>
        <w:t>2.2.4 工作量分配方案或原则：</w:t>
      </w:r>
      <w:r>
        <w:rPr>
          <w:rFonts w:hint="eastAsia" w:ascii="宋体" w:hAnsi="宋体" w:cs="宋体"/>
          <w:color w:val="0000C8"/>
          <w:sz w:val="21"/>
          <w:szCs w:val="21"/>
          <w:lang w:val="en-US" w:eastAsia="zh-CN"/>
        </w:rPr>
        <w:t>100%；</w:t>
      </w:r>
    </w:p>
    <w:p>
      <w:pPr>
        <w:spacing w:line="288" w:lineRule="auto"/>
        <w:ind w:left="440" w:leftChars="200"/>
        <w:rPr>
          <w:rFonts w:hint="eastAsia" w:ascii="宋体" w:hAnsi="宋体" w:cs="宋体"/>
          <w:color w:val="333333"/>
          <w:sz w:val="21"/>
          <w:szCs w:val="21"/>
        </w:rPr>
      </w:pPr>
      <w:r>
        <w:rPr>
          <w:rFonts w:hint="eastAsia" w:ascii="宋体" w:hAnsi="宋体" w:cs="宋体"/>
          <w:color w:val="333333"/>
          <w:sz w:val="21"/>
          <w:szCs w:val="21"/>
        </w:rPr>
        <w:t>2.3其他</w:t>
      </w:r>
    </w:p>
    <w:p>
      <w:pPr>
        <w:spacing w:line="288" w:lineRule="auto"/>
        <w:ind w:left="440" w:leftChars="200"/>
        <w:rPr>
          <w:rFonts w:hint="default" w:ascii="宋体" w:hAnsi="宋体" w:eastAsia="宋体" w:cs="宋体"/>
          <w:color w:val="333333"/>
          <w:sz w:val="21"/>
          <w:szCs w:val="21"/>
          <w:highlight w:val="none"/>
          <w:lang w:val="en-US" w:eastAsia="zh-CN"/>
        </w:rPr>
      </w:pPr>
      <w:r>
        <w:rPr>
          <w:rFonts w:hint="eastAsia" w:ascii="宋体" w:hAnsi="宋体" w:cs="宋体"/>
          <w:color w:val="333333"/>
          <w:sz w:val="21"/>
          <w:szCs w:val="21"/>
          <w:highlight w:val="none"/>
          <w:lang w:val="en-US" w:eastAsia="zh-CN"/>
        </w:rPr>
        <w:t>2.3.1投标保证金：具体要求见招标文件投标人须知前附表3.4.1；</w:t>
      </w:r>
    </w:p>
    <w:p>
      <w:pPr>
        <w:snapToGrid w:val="0"/>
        <w:spacing w:line="288" w:lineRule="auto"/>
        <w:ind w:firstLine="420" w:firstLineChars="200"/>
        <w:rPr>
          <w:rFonts w:hint="eastAsia" w:ascii="宋体" w:hAnsi="宋体" w:eastAsia="宋体" w:cs="宋体"/>
          <w:color w:val="0000FF"/>
          <w:sz w:val="21"/>
          <w:szCs w:val="21"/>
          <w:lang w:val="en-US" w:eastAsia="zh-CN"/>
        </w:rPr>
      </w:pPr>
      <w:r>
        <w:rPr>
          <w:rFonts w:hint="eastAsia" w:ascii="宋体" w:hAnsi="宋体" w:cs="宋体"/>
          <w:color w:val="333333"/>
          <w:sz w:val="21"/>
          <w:szCs w:val="21"/>
        </w:rPr>
        <w:t>2.3.</w:t>
      </w:r>
      <w:r>
        <w:rPr>
          <w:rFonts w:hint="eastAsia" w:ascii="宋体" w:hAnsi="宋体" w:cs="宋体"/>
          <w:color w:val="333333"/>
          <w:sz w:val="21"/>
          <w:szCs w:val="21"/>
          <w:lang w:val="en-US" w:eastAsia="zh-CN"/>
        </w:rPr>
        <w:t>2</w:t>
      </w:r>
      <w:r>
        <w:rPr>
          <w:rFonts w:hint="eastAsia" w:ascii="宋体" w:hAnsi="宋体" w:cs="宋体"/>
          <w:color w:val="333333"/>
          <w:sz w:val="21"/>
          <w:szCs w:val="21"/>
        </w:rPr>
        <w:t xml:space="preserve"> </w:t>
      </w:r>
      <w:r>
        <w:rPr>
          <w:rFonts w:hint="eastAsia" w:ascii="宋体" w:hAnsi="宋体" w:cs="宋体"/>
          <w:sz w:val="21"/>
          <w:szCs w:val="21"/>
        </w:rPr>
        <w:t>履约保证金：</w:t>
      </w:r>
      <w:r>
        <w:rPr>
          <w:rFonts w:hint="eastAsia" w:ascii="宋体" w:hAnsi="宋体" w:cs="宋体"/>
          <w:color w:val="0000FF"/>
          <w:sz w:val="21"/>
          <w:szCs w:val="21"/>
        </w:rPr>
        <w:t>合同签订前，收取中标人履约保证金，收取标准为中标额度（不含税）的</w:t>
      </w:r>
      <w:r>
        <w:rPr>
          <w:rFonts w:hint="eastAsia" w:ascii="宋体" w:hAnsi="宋体" w:cs="宋体"/>
          <w:color w:val="0000FF"/>
          <w:sz w:val="21"/>
          <w:szCs w:val="21"/>
          <w:lang w:val="en-US" w:eastAsia="zh-CN"/>
        </w:rPr>
        <w:t>2</w:t>
      </w:r>
      <w:r>
        <w:rPr>
          <w:rFonts w:hint="eastAsia" w:ascii="宋体" w:hAnsi="宋体" w:cs="宋体"/>
          <w:color w:val="0000FF"/>
          <w:sz w:val="21"/>
          <w:szCs w:val="21"/>
        </w:rPr>
        <w:t>%；最高不超50万</w:t>
      </w:r>
      <w:r>
        <w:rPr>
          <w:rFonts w:hint="eastAsia" w:ascii="宋体" w:hAnsi="宋体" w:cs="宋体"/>
          <w:color w:val="0000FF"/>
          <w:sz w:val="21"/>
          <w:szCs w:val="21"/>
          <w:lang w:eastAsia="zh-CN"/>
        </w:rPr>
        <w:t>。</w:t>
      </w:r>
    </w:p>
    <w:p>
      <w:pPr>
        <w:snapToGrid w:val="0"/>
        <w:spacing w:line="288"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rPr>
        <w:t>2.3.</w:t>
      </w:r>
      <w:r>
        <w:rPr>
          <w:rFonts w:hint="eastAsia" w:ascii="宋体" w:hAnsi="宋体" w:cs="宋体"/>
          <w:sz w:val="21"/>
          <w:szCs w:val="21"/>
          <w:lang w:val="en-US" w:eastAsia="zh-CN"/>
        </w:rPr>
        <w:t>3</w:t>
      </w:r>
      <w:r>
        <w:rPr>
          <w:rFonts w:hint="eastAsia" w:ascii="宋体" w:hAnsi="宋体" w:cs="宋体"/>
          <w:color w:val="auto"/>
          <w:sz w:val="21"/>
          <w:szCs w:val="21"/>
          <w:highlight w:val="none"/>
        </w:rPr>
        <w:t>服务费</w:t>
      </w:r>
      <w:r>
        <w:rPr>
          <w:rFonts w:hint="eastAsia" w:ascii="宋体" w:hAnsi="宋体" w:cs="宋体"/>
          <w:sz w:val="21"/>
          <w:szCs w:val="21"/>
          <w:highlight w:val="none"/>
        </w:rPr>
        <w:t>：中标厂家签订的合同，招标人将收取乙方挂账金额（不含税）</w:t>
      </w:r>
      <w:r>
        <w:rPr>
          <w:rFonts w:hint="eastAsia" w:ascii="宋体" w:hAnsi="宋体" w:cs="宋体"/>
          <w:color w:val="0000C8"/>
          <w:sz w:val="21"/>
          <w:szCs w:val="21"/>
          <w:highlight w:val="none"/>
        </w:rPr>
        <w:t>2%</w:t>
      </w:r>
      <w:r>
        <w:rPr>
          <w:rFonts w:hint="eastAsia" w:ascii="宋体" w:hAnsi="宋体" w:cs="宋体"/>
          <w:sz w:val="21"/>
          <w:szCs w:val="21"/>
          <w:highlight w:val="none"/>
        </w:rPr>
        <w:t>的服务费</w:t>
      </w:r>
      <w:r>
        <w:rPr>
          <w:rFonts w:hint="eastAsia" w:ascii="宋体" w:hAnsi="宋体" w:cs="宋体"/>
          <w:sz w:val="21"/>
          <w:szCs w:val="21"/>
          <w:highlight w:val="none"/>
          <w:lang w:eastAsia="zh-CN"/>
        </w:rPr>
        <w:t>；</w:t>
      </w:r>
    </w:p>
    <w:p>
      <w:pPr>
        <w:snapToGrid w:val="0"/>
        <w:spacing w:line="288" w:lineRule="auto"/>
        <w:ind w:firstLine="420" w:firstLineChars="200"/>
        <w:rPr>
          <w:rFonts w:hint="eastAsia" w:ascii="宋体" w:hAnsi="宋体" w:cs="宋体"/>
          <w:color w:val="0000CC"/>
          <w:sz w:val="21"/>
          <w:szCs w:val="21"/>
          <w:highlight w:val="none"/>
        </w:rPr>
      </w:pPr>
      <w:r>
        <w:rPr>
          <w:rFonts w:hint="eastAsia" w:ascii="宋体" w:hAnsi="宋体" w:cs="宋体"/>
          <w:color w:val="0000C8"/>
          <w:sz w:val="21"/>
          <w:szCs w:val="21"/>
          <w:highlight w:val="none"/>
        </w:rPr>
        <w:t>2.3.</w:t>
      </w:r>
      <w:r>
        <w:rPr>
          <w:rFonts w:hint="eastAsia" w:ascii="宋体" w:hAnsi="宋体" w:cs="宋体"/>
          <w:color w:val="0000C8"/>
          <w:sz w:val="21"/>
          <w:szCs w:val="21"/>
          <w:highlight w:val="none"/>
          <w:lang w:val="en-US" w:eastAsia="zh-CN"/>
        </w:rPr>
        <w:t>4</w:t>
      </w:r>
      <w:r>
        <w:rPr>
          <w:rFonts w:hint="eastAsia" w:ascii="宋体" w:hAnsi="宋体" w:cs="宋体"/>
          <w:color w:val="0000C8"/>
          <w:sz w:val="21"/>
          <w:szCs w:val="21"/>
          <w:highlight w:val="none"/>
        </w:rPr>
        <w:t>其他：无。</w:t>
      </w:r>
    </w:p>
    <w:p>
      <w:bookmarkStart w:id="12" w:name="_Toc347086851"/>
      <w:bookmarkStart w:id="13" w:name="_Toc347086985"/>
      <w:bookmarkStart w:id="14" w:name="_Toc347209680"/>
      <w:bookmarkStart w:id="15" w:name="_Toc520895296"/>
      <w:bookmarkStart w:id="16" w:name="_Toc17902423"/>
      <w:r>
        <w:rPr>
          <w:rFonts w:hint="eastAsia" w:ascii="Arial" w:hAnsi="Arial" w:eastAsia="黑体"/>
          <w:b/>
          <w:bCs/>
          <w:kern w:val="2"/>
          <w:sz w:val="32"/>
          <w:szCs w:val="32"/>
        </w:rPr>
        <w:t>3.投标人资格要求</w:t>
      </w:r>
      <w:bookmarkEnd w:id="12"/>
      <w:bookmarkEnd w:id="13"/>
      <w:bookmarkEnd w:id="14"/>
      <w:bookmarkEnd w:id="15"/>
      <w:bookmarkEnd w:id="16"/>
    </w:p>
    <w:p>
      <w:pPr>
        <w:snapToGrid w:val="0"/>
        <w:spacing w:line="288" w:lineRule="auto"/>
        <w:ind w:firstLine="422" w:firstLineChars="200"/>
        <w:rPr>
          <w:rFonts w:hint="eastAsia" w:ascii="宋体" w:hAnsi="宋体" w:cs="宋体"/>
          <w:b/>
          <w:bCs/>
          <w:sz w:val="21"/>
          <w:szCs w:val="21"/>
        </w:rPr>
      </w:pPr>
      <w:bookmarkStart w:id="17" w:name="_Toc347209681"/>
      <w:bookmarkStart w:id="18" w:name="_Toc347086852"/>
      <w:bookmarkStart w:id="19" w:name="_Toc347086986"/>
      <w:bookmarkStart w:id="20" w:name="_Toc520895297"/>
      <w:r>
        <w:rPr>
          <w:rFonts w:hint="eastAsia" w:ascii="宋体" w:hAnsi="宋体" w:cs="宋体"/>
          <w:b/>
          <w:bCs/>
          <w:sz w:val="21"/>
          <w:szCs w:val="21"/>
        </w:rPr>
        <w:t>3.1商务资格条件</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3.1.1境内注册的独立法人，经营范围包括本次招标项目要求，公司注册资金不低于200万元人民币的制造商。（投标人须提供营业执照和国家企业信用信息公示系统经营范围截屏；投标人营业执照登记信息和经营范围须与“国家企业信用信息公示系统”信息一致，评审现场网络查询复核）</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3.1.2提供会计师事务所出具标准的2019年度无保留意见审计报告（附资产负债表），且资产负债率低于100%，当年新成立公司和高等院校，不予提供相关财务信息和审计报告。</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3.1.3具有质量管理体系认证证书、环境管理体系认证证书、职业健康安全管理体系认证证书；（投标人须提供证书和中国国家认证认可监督管理委员会(http://www.cnca.gov.cn/）的认证结果查询截屏；评审现场网络查询复核）</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3.1.4近三年内(2017年1月1日至投标截止时间)，投标人在“国家企业信用信息公示系统”（www.gsxt.gov.cn），不存在与投标项目一致的“行政处罚信息”，不存在未移出的“列入经营异常名录信息”，不存在“列入严重违法失信企业名单（黑名单）信息”；并按要求进行年度报告。（投标人须提供“国家企业信用信息公示系统”关于“行政处罚信息”、“列入经营异常名录信息”、“列入严重违法失信企业名单（黑名单）信息”、“企业年报信息”的查询截屏，评审现场网络查询复核）</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3.1.5投标人在“中国执行信息公开网”(http://zxgk.court.gov.cn) 未被列为“失信被执行人”。（投标人须提供“中国执行信息公开网”关于“失信被执行人”的查询截屏，评审现场网络查询复核）</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3.1.6本次招标不接受联合体投标，不允许分包；</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3.1.7没有处于被责令停业，投标资格被取消，财产被接管、冻结，破产状态；（承诺）</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3.1.8单位负责人为同一人或者控股、管理关系的不同单位，不得参加同一标段投标或者未划分标段的同一招标项目投标；（承诺）</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3.1.9近三年（2017年1月1日至投标截止时间），在国家、行业、集团公司以及地方政府质量监督检查中无重大质量问题及事故；（承诺）</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3.1.10与集团公司及所属企业无重大法律纠纷；（承诺）</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3.1.11投标人有良好的商业信誉和健全的财务会计制度；（承诺）</w:t>
      </w:r>
    </w:p>
    <w:p>
      <w:pPr>
        <w:keepNext w:val="0"/>
        <w:keepLines w:val="0"/>
        <w:pageBreakBefore w:val="0"/>
        <w:widowControl/>
        <w:kinsoku/>
        <w:wordWrap/>
        <w:topLinePunct w:val="0"/>
        <w:autoSpaceDE/>
        <w:autoSpaceDN/>
        <w:bidi w:val="0"/>
        <w:adjustRightInd/>
        <w:snapToGrid w:val="0"/>
        <w:spacing w:line="288" w:lineRule="auto"/>
        <w:ind w:firstLine="420" w:firstLineChars="200"/>
        <w:textAlignment w:val="auto"/>
        <w:rPr>
          <w:rFonts w:hint="eastAsia" w:ascii="宋体" w:hAnsi="宋体" w:cs="宋体"/>
          <w:color w:val="0000C8"/>
          <w:sz w:val="21"/>
          <w:szCs w:val="21"/>
        </w:rPr>
      </w:pPr>
      <w:r>
        <w:rPr>
          <w:rFonts w:hint="eastAsia" w:ascii="宋体" w:hAnsi="宋体" w:cs="宋体"/>
          <w:color w:val="0000C8"/>
          <w:sz w:val="21"/>
          <w:szCs w:val="21"/>
        </w:rPr>
        <w:t>3.1.12法律、行政法规规定的其他条件；（承诺）</w:t>
      </w:r>
    </w:p>
    <w:p>
      <w:pPr>
        <w:keepNext w:val="0"/>
        <w:keepLines w:val="0"/>
        <w:pageBreakBefore w:val="0"/>
        <w:widowControl/>
        <w:kinsoku/>
        <w:wordWrap/>
        <w:topLinePunct w:val="0"/>
        <w:autoSpaceDE/>
        <w:autoSpaceDN/>
        <w:bidi w:val="0"/>
        <w:adjustRightInd/>
        <w:snapToGrid w:val="0"/>
        <w:spacing w:line="288" w:lineRule="auto"/>
        <w:ind w:firstLine="422" w:firstLineChars="200"/>
        <w:textAlignment w:val="auto"/>
        <w:rPr>
          <w:rFonts w:hint="eastAsia" w:ascii="宋体" w:hAnsi="宋体" w:cs="宋体"/>
          <w:b/>
          <w:bCs/>
          <w:sz w:val="21"/>
          <w:szCs w:val="21"/>
          <w:highlight w:val="none"/>
        </w:rPr>
      </w:pPr>
      <w:r>
        <w:rPr>
          <w:rFonts w:hint="eastAsia" w:ascii="宋体" w:hAnsi="宋体" w:cs="宋体"/>
          <w:b/>
          <w:bCs/>
          <w:sz w:val="21"/>
          <w:szCs w:val="21"/>
          <w:highlight w:val="none"/>
        </w:rPr>
        <w:t>3.2技术资格条件</w:t>
      </w:r>
    </w:p>
    <w:p>
      <w:pPr>
        <w:spacing w:line="288" w:lineRule="auto"/>
        <w:ind w:firstLine="420" w:firstLineChars="200"/>
        <w:rPr>
          <w:rFonts w:hint="eastAsia" w:ascii="宋体" w:hAnsi="宋体" w:cs="宋体"/>
          <w:color w:val="0000C8"/>
          <w:sz w:val="21"/>
          <w:szCs w:val="21"/>
          <w:lang w:val="en-US" w:eastAsia="zh-CN"/>
        </w:rPr>
      </w:pPr>
      <w:bookmarkStart w:id="21" w:name="_Toc17902424"/>
      <w:r>
        <w:rPr>
          <w:rFonts w:hint="eastAsia" w:ascii="宋体" w:hAnsi="宋体" w:cs="宋体"/>
          <w:color w:val="0000C8"/>
          <w:sz w:val="21"/>
          <w:szCs w:val="21"/>
          <w:lang w:val="en-US" w:eastAsia="zh-CN"/>
        </w:rPr>
        <w:t>3.2.1提供近三年（2017年1月1日至投标截止时间）带有CMA标识的水力锚（九牙或九爪或九孔）的产品质量检测报告，检测报告中包括工作压差及密封性、锚定力、启动压差、锚爪伸缩性等技术参数，满足技术要求5.1条款要求为合格。</w:t>
      </w:r>
    </w:p>
    <w:p>
      <w:pPr>
        <w:spacing w:line="288" w:lineRule="auto"/>
        <w:ind w:firstLine="420" w:firstLineChars="200"/>
        <w:rPr>
          <w:rFonts w:hint="eastAsia" w:ascii="宋体" w:hAnsi="宋体" w:cs="宋体"/>
          <w:color w:val="0000C8"/>
          <w:sz w:val="21"/>
          <w:szCs w:val="21"/>
          <w:lang w:val="en-US" w:eastAsia="zh-CN"/>
        </w:rPr>
      </w:pPr>
      <w:r>
        <w:rPr>
          <w:rFonts w:hint="eastAsia" w:ascii="宋体" w:hAnsi="宋体" w:cs="宋体"/>
          <w:color w:val="0000C8"/>
          <w:sz w:val="21"/>
          <w:szCs w:val="21"/>
          <w:lang w:val="en-US" w:eastAsia="zh-CN"/>
        </w:rPr>
        <w:t>3.2.2提供近三年（2017年1月1日至招标公告发布前一日）国内石油石化行业油气田企业水力锚（九牙或九爪或九孔）销售业绩，销售业绩不少于150万元并且每年销售业绩不少于50万元（提供相应的合同及对应发票，评审现场网络查询复核，在国家税务总局全国增值税发票查验平台查询，查询网址：https://inv-veri.chinatax.gov.cn/）。</w:t>
      </w:r>
    </w:p>
    <w:p>
      <w:pPr>
        <w:spacing w:line="288" w:lineRule="auto"/>
        <w:ind w:firstLine="420" w:firstLineChars="200"/>
        <w:rPr>
          <w:rFonts w:hint="default" w:ascii="宋体" w:hAnsi="宋体" w:cs="宋体"/>
          <w:color w:val="0000C8"/>
          <w:sz w:val="21"/>
          <w:szCs w:val="21"/>
          <w:lang w:val="en-US" w:eastAsia="zh-CN"/>
        </w:rPr>
      </w:pPr>
      <w:r>
        <w:rPr>
          <w:rFonts w:hint="eastAsia" w:ascii="宋体" w:hAnsi="宋体" w:cs="宋体"/>
          <w:color w:val="0000C8"/>
          <w:sz w:val="21"/>
          <w:szCs w:val="21"/>
          <w:lang w:val="en-US" w:eastAsia="zh-CN"/>
        </w:rPr>
        <w:t>3.2.3投标人必须全部满足技术要求*条款，同时对非*条款作出承诺。</w:t>
      </w:r>
    </w:p>
    <w:p>
      <w:pPr>
        <w:rPr>
          <w:rFonts w:hint="eastAsia" w:ascii="Arial" w:hAnsi="Arial" w:eastAsia="黑体"/>
          <w:b/>
          <w:bCs/>
          <w:kern w:val="2"/>
          <w:sz w:val="32"/>
          <w:szCs w:val="32"/>
        </w:rPr>
      </w:pPr>
      <w:r>
        <w:rPr>
          <w:rFonts w:hint="eastAsia" w:ascii="Arial" w:hAnsi="Arial" w:eastAsia="黑体"/>
          <w:b/>
          <w:bCs/>
          <w:kern w:val="2"/>
          <w:sz w:val="32"/>
          <w:szCs w:val="32"/>
        </w:rPr>
        <w:t>4.招标文件的获取</w:t>
      </w:r>
      <w:bookmarkEnd w:id="17"/>
      <w:bookmarkEnd w:id="18"/>
      <w:bookmarkEnd w:id="19"/>
      <w:bookmarkEnd w:id="20"/>
      <w:bookmarkEnd w:id="21"/>
    </w:p>
    <w:p>
      <w:pPr>
        <w:spacing w:line="288" w:lineRule="auto"/>
        <w:ind w:firstLine="420" w:firstLineChars="200"/>
        <w:rPr>
          <w:rFonts w:hint="eastAsia" w:ascii="宋体" w:hAnsi="宋体" w:cs="宋体"/>
          <w:sz w:val="21"/>
          <w:szCs w:val="21"/>
        </w:rPr>
      </w:pPr>
      <w:r>
        <w:rPr>
          <w:rFonts w:hint="eastAsia" w:ascii="宋体" w:hAnsi="宋体" w:cs="宋体"/>
          <w:sz w:val="21"/>
          <w:szCs w:val="21"/>
        </w:rPr>
        <w:t>4.1 凡有意参加投标的潜在投标人，请于</w:t>
      </w:r>
      <w:r>
        <w:rPr>
          <w:rFonts w:hint="eastAsia" w:ascii="宋体" w:hAnsi="宋体" w:cs="宋体"/>
          <w:sz w:val="21"/>
          <w:szCs w:val="21"/>
          <w:highlight w:val="none"/>
        </w:rPr>
        <w:t>北京时间</w:t>
      </w:r>
      <w:r>
        <w:rPr>
          <w:rFonts w:hint="eastAsia" w:ascii="宋体" w:hAnsi="宋体" w:cs="宋体"/>
          <w:color w:val="0000C8"/>
          <w:sz w:val="21"/>
          <w:szCs w:val="21"/>
          <w:highlight w:val="none"/>
        </w:rPr>
        <w:t xml:space="preserve"> 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7</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28</w:t>
      </w:r>
      <w:r>
        <w:rPr>
          <w:rFonts w:hint="eastAsia" w:ascii="宋体" w:hAnsi="宋体" w:cs="宋体"/>
          <w:color w:val="0000C8"/>
          <w:sz w:val="21"/>
          <w:szCs w:val="21"/>
          <w:highlight w:val="none"/>
        </w:rPr>
        <w:t>日至 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8</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3</w:t>
      </w:r>
      <w:r>
        <w:rPr>
          <w:rFonts w:hint="eastAsia" w:ascii="宋体" w:hAnsi="宋体" w:cs="宋体"/>
          <w:color w:val="0000C8"/>
          <w:sz w:val="21"/>
          <w:szCs w:val="21"/>
          <w:highlight w:val="none"/>
        </w:rPr>
        <w:t>日</w:t>
      </w:r>
      <w:r>
        <w:rPr>
          <w:rFonts w:hint="eastAsia" w:ascii="宋体" w:hAnsi="宋体" w:cs="宋体"/>
          <w:sz w:val="21"/>
          <w:szCs w:val="21"/>
          <w:highlight w:val="none"/>
        </w:rPr>
        <w:t>内</w:t>
      </w:r>
      <w:r>
        <w:rPr>
          <w:rFonts w:hint="eastAsia" w:ascii="宋体" w:hAnsi="宋体" w:cs="宋体"/>
          <w:sz w:val="21"/>
          <w:szCs w:val="21"/>
        </w:rPr>
        <w:t xml:space="preserve">完成以下两个步骤：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①  办理本项目在线报名事宜。</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登录“中国石油招标投标网”，进入“中国石油电子招标投标交易平台”在线报名。（如未在“中国石油电子招标投标交易平台”上注册过的潜在投标人需要先注册并通过平台审核，审核通过后登录平台在“可报名项目”中找到本项目并完成在线报名，投标人注册</w:t>
      </w:r>
      <w:r>
        <w:rPr>
          <w:rFonts w:hint="eastAsia" w:ascii="宋体" w:hAnsi="宋体" w:cs="宋体"/>
          <w:sz w:val="21"/>
          <w:szCs w:val="21"/>
          <w:highlight w:val="none"/>
        </w:rPr>
        <w:t>请参考</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《电子招投标平台投标人账号注册及信息变更指南》，</w:t>
      </w:r>
      <w:r>
        <w:rPr>
          <w:rFonts w:hint="eastAsia" w:ascii="宋体" w:hAnsi="宋体" w:cs="宋体"/>
          <w:sz w:val="21"/>
          <w:szCs w:val="21"/>
        </w:rPr>
        <w:t>或拨打中国石油电子招标投标交易平台技术支持电话咨询。）</w:t>
      </w:r>
    </w:p>
    <w:p>
      <w:pPr>
        <w:spacing w:line="288" w:lineRule="auto"/>
        <w:rPr>
          <w:rFonts w:hint="eastAsia" w:ascii="宋体" w:hAnsi="宋体" w:cs="宋体"/>
          <w:sz w:val="21"/>
          <w:szCs w:val="21"/>
        </w:rPr>
      </w:pPr>
      <w:r>
        <w:rPr>
          <w:rFonts w:hint="eastAsia" w:ascii="宋体" w:hAnsi="宋体" w:cs="宋体"/>
          <w:color w:val="000000"/>
          <w:kern w:val="2"/>
          <w:sz w:val="21"/>
          <w:szCs w:val="21"/>
        </w:rPr>
        <w:t>注：</w:t>
      </w:r>
      <w:r>
        <w:rPr>
          <w:rFonts w:hint="eastAsia" w:ascii="宋体" w:hAnsi="宋体" w:cs="宋体"/>
          <w:sz w:val="21"/>
          <w:szCs w:val="21"/>
        </w:rPr>
        <w:t>中国石油电子招标投标交易平台：</w:t>
      </w:r>
      <w:r>
        <w:rPr>
          <w:rFonts w:hint="eastAsia" w:ascii="宋体" w:hAnsi="宋体" w:cs="宋体"/>
          <w:kern w:val="2"/>
          <w:sz w:val="21"/>
          <w:szCs w:val="21"/>
        </w:rPr>
        <w:t>http://ebidmanage.cnpcbidding.com/bidder/ebid/base/login.html</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②办理本项目标书费缴纳事宜。</w:t>
      </w:r>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333333"/>
          <w:sz w:val="21"/>
          <w:szCs w:val="21"/>
        </w:rPr>
        <w:t>登陆“中国石油电子招标投标交易平台”，选择“已报名项目”进行购买招标文件操作</w:t>
      </w:r>
      <w:r>
        <w:rPr>
          <w:rFonts w:hint="eastAsia" w:ascii="宋体" w:hAnsi="宋体" w:cs="宋体"/>
          <w:kern w:val="2"/>
          <w:sz w:val="21"/>
          <w:szCs w:val="21"/>
        </w:rPr>
        <w:t>。</w:t>
      </w:r>
      <w:r>
        <w:rPr>
          <w:rFonts w:hint="eastAsia" w:ascii="宋体" w:hAnsi="宋体" w:cs="宋体"/>
          <w:color w:val="FF0000"/>
          <w:kern w:val="2"/>
          <w:sz w:val="21"/>
          <w:szCs w:val="21"/>
        </w:rPr>
        <w:t>购买招标文件采用网上支付的方式，系统仅支持个人网银支付。</w:t>
      </w:r>
    </w:p>
    <w:p>
      <w:pPr>
        <w:spacing w:line="288" w:lineRule="auto"/>
        <w:ind w:firstLine="420" w:firstLineChars="200"/>
        <w:rPr>
          <w:rFonts w:hint="eastAsia" w:ascii="宋体" w:hAnsi="宋体" w:cs="宋体"/>
          <w:b/>
          <w:bCs/>
          <w:color w:val="000000"/>
          <w:kern w:val="2"/>
          <w:sz w:val="21"/>
          <w:szCs w:val="21"/>
        </w:rPr>
      </w:pPr>
      <w:r>
        <w:rPr>
          <w:rFonts w:hint="eastAsia" w:ascii="宋体" w:hAnsi="宋体" w:cs="宋体"/>
          <w:color w:val="000000"/>
          <w:kern w:val="2"/>
          <w:sz w:val="21"/>
          <w:szCs w:val="21"/>
        </w:rPr>
        <w:t>详细操作步骤参见</w:t>
      </w:r>
      <w:r>
        <w:rPr>
          <w:rFonts w:hint="eastAsia" w:ascii="宋体" w:hAnsi="宋体" w:cs="宋体"/>
          <w:b/>
          <w:bCs/>
          <w:color w:val="000000"/>
          <w:kern w:val="2"/>
          <w:sz w:val="21"/>
          <w:szCs w:val="21"/>
        </w:rPr>
        <w:t>《工具中心-投标人用户手册》。</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4.2招标文件每个标包售价为</w:t>
      </w:r>
      <w:r>
        <w:rPr>
          <w:rFonts w:hint="eastAsia" w:ascii="宋体" w:hAnsi="宋体" w:cs="宋体"/>
          <w:color w:val="0000C8"/>
          <w:sz w:val="21"/>
          <w:szCs w:val="21"/>
        </w:rPr>
        <w:t>500</w:t>
      </w:r>
      <w:r>
        <w:rPr>
          <w:rFonts w:hint="eastAsia" w:ascii="宋体" w:hAnsi="宋体" w:cs="宋体"/>
          <w:sz w:val="21"/>
          <w:szCs w:val="21"/>
        </w:rPr>
        <w:t xml:space="preserve">元人民币，请有意参加投标的潜在投标人确认自身资格条件是否满足投标人资格要求，售后不退，应自负其责。 </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 xml:space="preserve">4.3本次招标文件采取线上发售的方式。潜在投标人按照4.1条款要求购买招标文件后，可登录“中国石油电子招标投标交易平台”下载招标文件。 </w:t>
      </w:r>
    </w:p>
    <w:p>
      <w:pPr>
        <w:spacing w:line="288" w:lineRule="auto"/>
        <w:ind w:firstLine="420" w:firstLineChars="200"/>
        <w:rPr>
          <w:rFonts w:hint="eastAsia" w:ascii="宋体" w:hAnsi="宋体" w:cs="宋体"/>
          <w:bCs/>
          <w:sz w:val="21"/>
          <w:szCs w:val="21"/>
          <w:highlight w:val="none"/>
        </w:rPr>
      </w:pPr>
      <w:r>
        <w:rPr>
          <w:rFonts w:hint="eastAsia" w:ascii="宋体" w:hAnsi="宋体" w:cs="宋体"/>
          <w:sz w:val="21"/>
          <w:szCs w:val="21"/>
        </w:rPr>
        <w:t>4.4此次招标采购项目为全流程网上操作，供应商需要使用 U-key才能完成投标工作，因此要求所有参与本项目投标的供应商必须办理U-key。</w:t>
      </w:r>
      <w:r>
        <w:rPr>
          <w:rFonts w:hint="eastAsia" w:ascii="宋体" w:hAnsi="宋体" w:cs="宋体"/>
          <w:color w:val="333333"/>
          <w:sz w:val="21"/>
          <w:szCs w:val="21"/>
        </w:rPr>
        <w:t>中石油电子商务</w:t>
      </w:r>
      <w:r>
        <w:rPr>
          <w:rFonts w:hint="eastAsia" w:ascii="宋体" w:hAnsi="宋体" w:cs="宋体"/>
          <w:bCs/>
          <w:color w:val="000000"/>
          <w:sz w:val="21"/>
          <w:szCs w:val="21"/>
        </w:rPr>
        <w:t>U-Key办理</w:t>
      </w:r>
      <w:r>
        <w:rPr>
          <w:rFonts w:hint="eastAsia" w:ascii="宋体" w:hAnsi="宋体" w:cs="宋体"/>
          <w:bCs/>
          <w:color w:val="000000"/>
          <w:sz w:val="21"/>
          <w:szCs w:val="21"/>
          <w:highlight w:val="none"/>
        </w:rPr>
        <w:t>流程详见</w:t>
      </w:r>
      <w:r>
        <w:rPr>
          <w:rFonts w:hint="eastAsia" w:ascii="宋体" w:hAnsi="宋体" w:cs="宋体"/>
          <w:sz w:val="21"/>
          <w:szCs w:val="21"/>
          <w:highlight w:val="none"/>
          <w:lang w:eastAsia="zh-CN"/>
        </w:rPr>
        <w:t>中国石油招标投标网</w:t>
      </w:r>
      <w:r>
        <w:rPr>
          <w:rFonts w:hint="eastAsia" w:ascii="宋体" w:hAnsi="宋体" w:cs="宋体"/>
          <w:sz w:val="21"/>
          <w:szCs w:val="21"/>
          <w:highlight w:val="none"/>
          <w:lang w:val="en-US" w:eastAsia="zh-CN"/>
        </w:rPr>
        <w:t>-通知通告-操作指南-</w:t>
      </w:r>
      <w:r>
        <w:rPr>
          <w:rFonts w:hint="eastAsia" w:ascii="宋体" w:hAnsi="宋体" w:cs="宋体"/>
          <w:sz w:val="21"/>
          <w:szCs w:val="21"/>
          <w:highlight w:val="none"/>
        </w:rPr>
        <w:t>《</w:t>
      </w:r>
      <w:r>
        <w:rPr>
          <w:rFonts w:hint="eastAsia" w:ascii="宋体" w:hAnsi="宋体" w:cs="宋体"/>
          <w:sz w:val="21"/>
          <w:szCs w:val="21"/>
          <w:highlight w:val="none"/>
        </w:rPr>
        <w:fldChar w:fldCharType="begin"/>
      </w:r>
      <w:r>
        <w:rPr>
          <w:rFonts w:hint="eastAsia" w:ascii="宋体" w:hAnsi="宋体" w:cs="宋体"/>
          <w:sz w:val="21"/>
          <w:szCs w:val="21"/>
          <w:highlight w:val="none"/>
        </w:rPr>
        <w:instrText xml:space="preserve"> HYPERLINK "https://www.cnpcbidding.com/html/1/javascript: void (0);" </w:instrText>
      </w:r>
      <w:r>
        <w:rPr>
          <w:rFonts w:hint="eastAsia" w:ascii="宋体" w:hAnsi="宋体" w:cs="宋体"/>
          <w:sz w:val="21"/>
          <w:szCs w:val="21"/>
          <w:highlight w:val="none"/>
        </w:rPr>
        <w:fldChar w:fldCharType="separate"/>
      </w:r>
      <w:r>
        <w:rPr>
          <w:rFonts w:hint="eastAsia" w:ascii="宋体" w:hAnsi="宋体" w:cs="宋体"/>
          <w:sz w:val="21"/>
          <w:szCs w:val="21"/>
          <w:highlight w:val="none"/>
        </w:rPr>
        <w:t>电子招投标平台Ukey办理通知公告及操作手册</w:t>
      </w:r>
      <w:r>
        <w:rPr>
          <w:rFonts w:hint="eastAsia" w:ascii="宋体" w:hAnsi="宋体" w:cs="宋体"/>
          <w:sz w:val="21"/>
          <w:szCs w:val="21"/>
          <w:highlight w:val="none"/>
        </w:rPr>
        <w:fldChar w:fldCharType="end"/>
      </w:r>
      <w:r>
        <w:rPr>
          <w:rFonts w:hint="eastAsia" w:ascii="宋体" w:hAnsi="宋体" w:cs="宋体"/>
          <w:sz w:val="21"/>
          <w:szCs w:val="21"/>
          <w:highlight w:val="none"/>
        </w:rPr>
        <w:t>》</w:t>
      </w:r>
      <w:r>
        <w:rPr>
          <w:rFonts w:hint="eastAsia" w:ascii="宋体" w:hAnsi="宋体" w:cs="宋体"/>
          <w:color w:val="333333"/>
          <w:sz w:val="21"/>
          <w:szCs w:val="21"/>
          <w:highlight w:val="none"/>
        </w:rPr>
        <w:t>。</w:t>
      </w:r>
    </w:p>
    <w:p>
      <w:pPr>
        <w:spacing w:line="288" w:lineRule="auto"/>
        <w:ind w:firstLine="420" w:firstLineChars="200"/>
        <w:rPr>
          <w:rFonts w:hint="eastAsia" w:ascii="宋体" w:hAnsi="宋体" w:cs="宋体"/>
          <w:color w:val="000000"/>
          <w:kern w:val="2"/>
          <w:sz w:val="21"/>
          <w:szCs w:val="21"/>
          <w:highlight w:val="green"/>
        </w:rPr>
      </w:pPr>
      <w:r>
        <w:rPr>
          <w:rFonts w:hint="eastAsia" w:ascii="宋体" w:hAnsi="宋体" w:cs="宋体"/>
          <w:color w:val="000000"/>
          <w:kern w:val="2"/>
          <w:sz w:val="21"/>
          <w:szCs w:val="21"/>
        </w:rPr>
        <w:t>4.5 招标文件获取后，需每天登陆“中国石油电子招标投标交易平台”查看该项目澄清等相关信息。</w:t>
      </w:r>
    </w:p>
    <w:p>
      <w:pPr>
        <w:spacing w:line="288" w:lineRule="auto"/>
        <w:ind w:firstLine="420" w:firstLineChars="200"/>
        <w:rPr>
          <w:rFonts w:hint="eastAsia" w:ascii="宋体" w:hAnsi="宋体" w:cs="宋体"/>
          <w:color w:val="000000"/>
          <w:kern w:val="2"/>
          <w:sz w:val="21"/>
          <w:szCs w:val="21"/>
          <w:highlight w:val="none"/>
          <w:lang w:val="zh-CN"/>
        </w:rPr>
      </w:pPr>
      <w:r>
        <w:rPr>
          <w:rFonts w:hint="eastAsia" w:ascii="宋体" w:hAnsi="宋体" w:cs="宋体"/>
          <w:color w:val="000000"/>
          <w:kern w:val="2"/>
          <w:sz w:val="21"/>
          <w:szCs w:val="21"/>
          <w:highlight w:val="none"/>
        </w:rPr>
        <w:t>4.6 招标文件购买操作失败或其他系统问题，</w:t>
      </w:r>
      <w:r>
        <w:rPr>
          <w:rFonts w:hint="eastAsia" w:ascii="宋体" w:hAnsi="宋体" w:cs="宋体"/>
          <w:color w:val="000000"/>
          <w:kern w:val="2"/>
          <w:sz w:val="21"/>
          <w:szCs w:val="21"/>
          <w:highlight w:val="none"/>
          <w:lang w:val="zh-CN"/>
        </w:rPr>
        <w:t>可尝试更换其他银行的个人网银重新购买</w:t>
      </w:r>
      <w:r>
        <w:rPr>
          <w:rFonts w:hint="eastAsia" w:ascii="宋体" w:hAnsi="宋体" w:cs="宋体"/>
          <w:color w:val="000000"/>
          <w:kern w:val="2"/>
          <w:sz w:val="21"/>
          <w:szCs w:val="21"/>
          <w:highlight w:val="none"/>
          <w:lang w:eastAsia="zh-CN"/>
        </w:rPr>
        <w:t>或</w:t>
      </w:r>
      <w:r>
        <w:rPr>
          <w:rFonts w:hint="eastAsia" w:ascii="宋体" w:hAnsi="宋体" w:cs="宋体"/>
          <w:color w:val="000000"/>
          <w:kern w:val="2"/>
          <w:sz w:val="21"/>
          <w:szCs w:val="21"/>
          <w:highlight w:val="none"/>
        </w:rPr>
        <w:t>拨打中国石油电子招标投标交易平台技术支持电话咨询</w:t>
      </w:r>
      <w:r>
        <w:rPr>
          <w:rFonts w:hint="eastAsia" w:ascii="方正小标宋简体" w:hAnsi="方正小标宋简体" w:eastAsia="方正小标宋简体"/>
          <w:color w:val="000000"/>
          <w:sz w:val="24"/>
          <w:highlight w:val="none"/>
          <w:lang w:val="zh-CN"/>
        </w:rPr>
        <w:t>。</w:t>
      </w:r>
      <w:r>
        <w:rPr>
          <w:rFonts w:hint="eastAsia" w:ascii="宋体" w:hAnsi="宋体" w:cs="宋体"/>
          <w:color w:val="000000"/>
          <w:kern w:val="2"/>
          <w:sz w:val="21"/>
          <w:szCs w:val="21"/>
          <w:highlight w:val="none"/>
          <w:lang w:val="zh-CN"/>
        </w:rPr>
        <w:t>重复购买的，在本项目开标日之后可联系招标代理机构联系人退还重复购买费用。</w:t>
      </w:r>
    </w:p>
    <w:p>
      <w:pPr>
        <w:rPr>
          <w:rFonts w:hint="eastAsia" w:ascii="Arial" w:hAnsi="Arial" w:eastAsia="黑体"/>
          <w:b/>
          <w:bCs/>
          <w:kern w:val="2"/>
          <w:sz w:val="32"/>
          <w:szCs w:val="32"/>
        </w:rPr>
      </w:pPr>
      <w:bookmarkStart w:id="22" w:name="_Toc310252595"/>
      <w:bookmarkStart w:id="23" w:name="_Toc310252796"/>
      <w:bookmarkStart w:id="24" w:name="_Toc491332587"/>
      <w:bookmarkStart w:id="25" w:name="_Toc520895298"/>
      <w:bookmarkStart w:id="26" w:name="_Toc17902425"/>
      <w:r>
        <w:rPr>
          <w:rFonts w:hint="eastAsia" w:ascii="Arial" w:hAnsi="Arial" w:eastAsia="黑体"/>
          <w:b/>
          <w:bCs/>
          <w:kern w:val="2"/>
          <w:sz w:val="32"/>
          <w:szCs w:val="32"/>
        </w:rPr>
        <w:t>5.投标文件的递交</w:t>
      </w:r>
      <w:bookmarkEnd w:id="22"/>
      <w:bookmarkEnd w:id="23"/>
      <w:bookmarkEnd w:id="24"/>
      <w:bookmarkEnd w:id="25"/>
      <w:bookmarkEnd w:id="26"/>
    </w:p>
    <w:p>
      <w:pPr>
        <w:spacing w:line="288" w:lineRule="auto"/>
        <w:ind w:firstLine="420" w:firstLineChars="200"/>
        <w:rPr>
          <w:rFonts w:hint="eastAsia" w:ascii="宋体" w:hAnsi="宋体" w:cs="宋体"/>
          <w:color w:val="FF0000"/>
          <w:kern w:val="2"/>
          <w:sz w:val="21"/>
          <w:szCs w:val="21"/>
        </w:rPr>
      </w:pPr>
      <w:r>
        <w:rPr>
          <w:rFonts w:hint="eastAsia" w:ascii="宋体" w:hAnsi="宋体" w:cs="宋体"/>
          <w:color w:val="000000"/>
          <w:kern w:val="2"/>
          <w:sz w:val="21"/>
          <w:szCs w:val="21"/>
        </w:rPr>
        <w:t>5.1本次招标采取网上递交电子投标文件的投标方式</w:t>
      </w:r>
      <w:r>
        <w:rPr>
          <w:rFonts w:hint="eastAsia" w:ascii="宋体" w:hAnsi="宋体" w:cs="宋体"/>
          <w:color w:val="000000"/>
          <w:kern w:val="2"/>
          <w:sz w:val="21"/>
          <w:szCs w:val="21"/>
          <w:lang w:eastAsia="zh-CN"/>
        </w:rPr>
        <w:t>；</w:t>
      </w:r>
      <w:r>
        <w:rPr>
          <w:rFonts w:hint="eastAsia" w:ascii="宋体" w:hAnsi="宋体" w:cs="宋体"/>
          <w:color w:val="000000"/>
          <w:kern w:val="2"/>
          <w:sz w:val="21"/>
          <w:szCs w:val="21"/>
        </w:rPr>
        <w:t xml:space="preserve"> </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5.2投标截止时间和开标时间（网上开标） ：</w:t>
      </w:r>
      <w:r>
        <w:rPr>
          <w:rFonts w:hint="eastAsia" w:ascii="宋体" w:hAnsi="宋体" w:cs="宋体"/>
          <w:color w:val="0000C8"/>
          <w:kern w:val="2"/>
          <w:sz w:val="21"/>
          <w:szCs w:val="21"/>
          <w:highlight w:val="none"/>
        </w:rPr>
        <w:t>20</w:t>
      </w:r>
      <w:r>
        <w:rPr>
          <w:rFonts w:hint="eastAsia" w:ascii="宋体" w:hAnsi="宋体" w:cs="宋体"/>
          <w:color w:val="0000C8"/>
          <w:kern w:val="2"/>
          <w:sz w:val="21"/>
          <w:szCs w:val="21"/>
          <w:highlight w:val="none"/>
          <w:lang w:val="en-US" w:eastAsia="zh-CN"/>
        </w:rPr>
        <w:t>20</w:t>
      </w:r>
      <w:r>
        <w:rPr>
          <w:rFonts w:hint="eastAsia" w:ascii="宋体" w:hAnsi="宋体" w:cs="宋体"/>
          <w:color w:val="0000C8"/>
          <w:kern w:val="2"/>
          <w:sz w:val="21"/>
          <w:szCs w:val="21"/>
          <w:highlight w:val="none"/>
        </w:rPr>
        <w:t>年</w:t>
      </w:r>
      <w:r>
        <w:rPr>
          <w:rFonts w:hint="eastAsia" w:ascii="宋体" w:hAnsi="宋体" w:cs="宋体"/>
          <w:color w:val="0000C8"/>
          <w:kern w:val="2"/>
          <w:sz w:val="21"/>
          <w:szCs w:val="21"/>
          <w:highlight w:val="none"/>
          <w:lang w:val="en-US" w:eastAsia="zh-CN"/>
        </w:rPr>
        <w:t>8</w:t>
      </w:r>
      <w:r>
        <w:rPr>
          <w:rFonts w:hint="eastAsia" w:ascii="宋体" w:hAnsi="宋体" w:cs="宋体"/>
          <w:color w:val="0000C8"/>
          <w:kern w:val="2"/>
          <w:sz w:val="21"/>
          <w:szCs w:val="21"/>
          <w:highlight w:val="none"/>
        </w:rPr>
        <w:t>月</w:t>
      </w:r>
      <w:r>
        <w:rPr>
          <w:rFonts w:hint="eastAsia" w:ascii="宋体" w:hAnsi="宋体" w:cs="宋体"/>
          <w:color w:val="0000C8"/>
          <w:kern w:val="2"/>
          <w:sz w:val="21"/>
          <w:szCs w:val="21"/>
          <w:highlight w:val="none"/>
          <w:lang w:val="en-US" w:eastAsia="zh-CN"/>
        </w:rPr>
        <w:t>20</w:t>
      </w:r>
      <w:r>
        <w:rPr>
          <w:rFonts w:hint="eastAsia" w:ascii="宋体" w:hAnsi="宋体" w:cs="宋体"/>
          <w:color w:val="0000C8"/>
          <w:kern w:val="2"/>
          <w:sz w:val="21"/>
          <w:szCs w:val="21"/>
          <w:highlight w:val="none"/>
        </w:rPr>
        <w:t>日</w:t>
      </w:r>
      <w:r>
        <w:rPr>
          <w:rFonts w:hint="eastAsia" w:ascii="宋体" w:hAnsi="宋体" w:cs="宋体"/>
          <w:color w:val="0000C8"/>
          <w:kern w:val="2"/>
          <w:sz w:val="21"/>
          <w:szCs w:val="21"/>
          <w:highlight w:val="none"/>
          <w:lang w:val="en-US" w:eastAsia="zh-CN"/>
        </w:rPr>
        <w:t>08</w:t>
      </w:r>
      <w:r>
        <w:rPr>
          <w:rFonts w:hint="eastAsia" w:ascii="宋体" w:hAnsi="宋体" w:cs="宋体"/>
          <w:color w:val="0000C8"/>
          <w:kern w:val="2"/>
          <w:sz w:val="21"/>
          <w:szCs w:val="21"/>
          <w:highlight w:val="none"/>
        </w:rPr>
        <w:t>时</w:t>
      </w:r>
      <w:r>
        <w:rPr>
          <w:rFonts w:hint="eastAsia" w:ascii="宋体" w:hAnsi="宋体" w:cs="宋体"/>
          <w:color w:val="0000C8"/>
          <w:kern w:val="2"/>
          <w:sz w:val="21"/>
          <w:szCs w:val="21"/>
          <w:highlight w:val="none"/>
          <w:lang w:val="en-US" w:eastAsia="zh-CN"/>
        </w:rPr>
        <w:t>30</w:t>
      </w:r>
      <w:r>
        <w:rPr>
          <w:rFonts w:hint="eastAsia" w:ascii="宋体" w:hAnsi="宋体" w:cs="宋体"/>
          <w:color w:val="0000C8"/>
          <w:kern w:val="2"/>
          <w:sz w:val="21"/>
          <w:szCs w:val="21"/>
          <w:highlight w:val="none"/>
        </w:rPr>
        <w:t>分</w:t>
      </w:r>
      <w:r>
        <w:rPr>
          <w:rFonts w:hint="eastAsia" w:ascii="宋体" w:hAnsi="宋体" w:cs="宋体"/>
          <w:color w:val="000000"/>
          <w:kern w:val="2"/>
          <w:sz w:val="21"/>
          <w:szCs w:val="21"/>
        </w:rPr>
        <w:t xml:space="preserve">（北京时间）； </w:t>
      </w:r>
    </w:p>
    <w:p>
      <w:pPr>
        <w:spacing w:line="288" w:lineRule="auto"/>
        <w:ind w:firstLine="420" w:firstLineChars="200"/>
        <w:rPr>
          <w:rFonts w:hint="eastAsia" w:ascii="宋体" w:hAnsi="宋体" w:eastAsia="宋体" w:cs="宋体"/>
          <w:color w:val="000000"/>
          <w:kern w:val="2"/>
          <w:sz w:val="21"/>
          <w:szCs w:val="21"/>
          <w:lang w:eastAsia="zh-CN"/>
        </w:rPr>
      </w:pPr>
      <w:r>
        <w:rPr>
          <w:rFonts w:hint="eastAsia" w:ascii="宋体" w:hAnsi="宋体" w:cs="宋体"/>
          <w:color w:val="000000"/>
          <w:kern w:val="2"/>
          <w:sz w:val="21"/>
          <w:szCs w:val="21"/>
        </w:rPr>
        <w:t>5.3开标地点（网上开标）：中国石油电子招标投标交易平台</w:t>
      </w:r>
      <w:r>
        <w:rPr>
          <w:rFonts w:hint="eastAsia" w:ascii="宋体" w:hAnsi="宋体" w:cs="宋体"/>
          <w:color w:val="000000"/>
          <w:kern w:val="2"/>
          <w:sz w:val="21"/>
          <w:szCs w:val="21"/>
          <w:lang w:eastAsia="zh-CN"/>
        </w:rPr>
        <w:t>。</w:t>
      </w:r>
    </w:p>
    <w:p>
      <w:pPr>
        <w:spacing w:line="288" w:lineRule="auto"/>
        <w:ind w:firstLine="420" w:firstLineChars="200"/>
        <w:rPr>
          <w:rFonts w:hint="eastAsia" w:ascii="宋体" w:hAnsi="宋体" w:cs="宋体"/>
          <w:color w:val="000000"/>
          <w:kern w:val="2"/>
          <w:sz w:val="21"/>
          <w:szCs w:val="21"/>
        </w:rPr>
      </w:pPr>
      <w:r>
        <w:rPr>
          <w:rFonts w:hint="eastAsia" w:ascii="宋体" w:hAnsi="宋体" w:cs="宋体"/>
          <w:color w:val="000000"/>
          <w:kern w:val="2"/>
          <w:sz w:val="21"/>
          <w:szCs w:val="21"/>
        </w:rPr>
        <w:t>（投标人可进入“中国石油电子招标投标交易平台”开标大厅参加在线开标）</w:t>
      </w:r>
      <w:bookmarkStart w:id="27" w:name="_Toc491332588"/>
      <w:bookmarkStart w:id="28" w:name="_Toc520895299"/>
      <w:bookmarkStart w:id="29" w:name="_Toc17902426"/>
    </w:p>
    <w:p>
      <w:pPr>
        <w:rPr>
          <w:rFonts w:hint="eastAsia" w:ascii="Arial" w:hAnsi="Arial" w:eastAsia="黑体"/>
          <w:b/>
          <w:bCs/>
          <w:kern w:val="2"/>
          <w:sz w:val="32"/>
          <w:szCs w:val="32"/>
        </w:rPr>
      </w:pPr>
      <w:r>
        <w:rPr>
          <w:rFonts w:hint="eastAsia" w:ascii="Arial" w:hAnsi="Arial" w:eastAsia="黑体"/>
          <w:b/>
          <w:bCs/>
          <w:kern w:val="2"/>
          <w:sz w:val="32"/>
          <w:szCs w:val="32"/>
        </w:rPr>
        <w:t>6.发布公告的媒体</w:t>
      </w:r>
      <w:bookmarkEnd w:id="27"/>
      <w:bookmarkEnd w:id="28"/>
      <w:bookmarkEnd w:id="29"/>
    </w:p>
    <w:p>
      <w:pPr>
        <w:spacing w:line="288" w:lineRule="auto"/>
        <w:ind w:firstLine="420" w:firstLineChars="200"/>
        <w:rPr>
          <w:rFonts w:hint="eastAsia" w:hAnsi="宋体" w:cs="宋体"/>
          <w:bCs/>
          <w:kern w:val="2"/>
          <w:sz w:val="21"/>
          <w:szCs w:val="21"/>
        </w:rPr>
      </w:pPr>
      <w:r>
        <w:rPr>
          <w:rFonts w:hint="eastAsia" w:hAnsi="宋体" w:cs="宋体"/>
          <w:bCs/>
          <w:kern w:val="2"/>
          <w:sz w:val="21"/>
          <w:szCs w:val="21"/>
          <w:lang w:val="zh-CN"/>
        </w:rPr>
        <w:t>中国石油招标投标网</w:t>
      </w:r>
      <w:r>
        <w:rPr>
          <w:rFonts w:hint="eastAsia" w:hAnsi="宋体" w:cs="宋体"/>
          <w:bCs/>
          <w:kern w:val="2"/>
          <w:sz w:val="21"/>
          <w:szCs w:val="21"/>
        </w:rPr>
        <w:t>（</w:t>
      </w:r>
      <w:r>
        <w:rPr>
          <w:rFonts w:hint="eastAsia" w:ascii="宋体" w:hAnsi="宋体"/>
          <w:color w:val="000000"/>
          <w:sz w:val="21"/>
          <w:szCs w:val="21"/>
        </w:rPr>
        <w:t>https://www.cnpcbidding.com/</w:t>
      </w:r>
      <w:r>
        <w:rPr>
          <w:rFonts w:hint="eastAsia" w:hAnsi="宋体" w:cs="宋体"/>
          <w:bCs/>
          <w:kern w:val="2"/>
          <w:sz w:val="21"/>
          <w:szCs w:val="21"/>
        </w:rPr>
        <w:t>）</w:t>
      </w:r>
    </w:p>
    <w:p>
      <w:pPr>
        <w:rPr>
          <w:rFonts w:hint="eastAsia" w:ascii="Arial" w:hAnsi="Arial" w:eastAsia="黑体"/>
          <w:b/>
          <w:bCs/>
          <w:kern w:val="2"/>
          <w:sz w:val="32"/>
          <w:szCs w:val="32"/>
        </w:rPr>
      </w:pPr>
      <w:bookmarkStart w:id="30" w:name="_Toc17902427"/>
      <w:r>
        <w:rPr>
          <w:rFonts w:hint="eastAsia" w:ascii="Arial" w:hAnsi="Arial" w:eastAsia="黑体"/>
          <w:b/>
          <w:bCs/>
          <w:kern w:val="2"/>
          <w:sz w:val="32"/>
          <w:szCs w:val="32"/>
        </w:rPr>
        <w:t>7.联系方式</w:t>
      </w:r>
      <w:bookmarkEnd w:id="30"/>
      <w:r>
        <w:rPr>
          <w:rFonts w:hint="eastAsia" w:ascii="Arial" w:hAnsi="Arial" w:eastAsia="黑体"/>
          <w:b/>
          <w:bCs/>
          <w:kern w:val="2"/>
          <w:sz w:val="32"/>
          <w:szCs w:val="32"/>
        </w:rPr>
        <w:t xml:space="preserve">  </w:t>
      </w:r>
    </w:p>
    <w:p>
      <w:pPr>
        <w:spacing w:line="288" w:lineRule="auto"/>
        <w:ind w:firstLine="420" w:firstLineChars="200"/>
        <w:rPr>
          <w:rFonts w:hint="eastAsia" w:ascii="宋体" w:hAnsi="宋体" w:cs="宋体"/>
          <w:sz w:val="21"/>
          <w:szCs w:val="21"/>
        </w:rPr>
      </w:pPr>
      <w:r>
        <w:rPr>
          <w:rFonts w:hint="eastAsia" w:ascii="宋体" w:hAnsi="宋体" w:cs="宋体"/>
          <w:color w:val="000000"/>
          <w:sz w:val="21"/>
          <w:szCs w:val="21"/>
        </w:rPr>
        <w:t>报名监督电话</w:t>
      </w:r>
      <w:r>
        <w:rPr>
          <w:rFonts w:hint="eastAsia" w:ascii="宋体" w:hAnsi="宋体" w:cs="宋体"/>
          <w:sz w:val="21"/>
          <w:szCs w:val="21"/>
        </w:rPr>
        <w:t>：0438-6278591</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  标  人：</w:t>
      </w:r>
      <w:r>
        <w:rPr>
          <w:rFonts w:hint="eastAsia" w:ascii="宋体" w:hAnsi="宋体" w:cs="宋体"/>
          <w:sz w:val="21"/>
          <w:szCs w:val="21"/>
        </w:rPr>
        <w:t>中国石油天然气股份有限公司吉林油田分公司</w:t>
      </w:r>
      <w:r>
        <w:rPr>
          <w:rFonts w:hint="eastAsia" w:ascii="宋体" w:hAnsi="宋体" w:cs="宋体"/>
          <w:bCs/>
          <w:color w:val="0000CC"/>
          <w:kern w:val="2"/>
          <w:sz w:val="21"/>
          <w:szCs w:val="21"/>
          <w:lang w:val="zh-CN"/>
        </w:rPr>
        <w:t xml:space="preserve">   </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sz w:val="21"/>
          <w:szCs w:val="21"/>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 xml:space="preserve">吉林省松原市宁江区沿江东路1219号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 138000 </w:t>
      </w:r>
    </w:p>
    <w:p>
      <w:pPr>
        <w:spacing w:line="288" w:lineRule="auto"/>
        <w:ind w:firstLine="420" w:firstLineChars="200"/>
        <w:rPr>
          <w:rFonts w:hint="eastAsia" w:ascii="宋体" w:hAnsi="宋体" w:cs="宋体"/>
          <w:bCs/>
          <w:color w:val="0000C8"/>
          <w:kern w:val="2"/>
          <w:sz w:val="21"/>
          <w:szCs w:val="21"/>
          <w:lang w:val="zh-CN"/>
        </w:rPr>
      </w:pPr>
      <w:r>
        <w:rPr>
          <w:rFonts w:hint="eastAsia" w:ascii="宋体" w:hAnsi="宋体" w:cs="宋体"/>
          <w:bCs/>
          <w:kern w:val="2"/>
          <w:sz w:val="21"/>
          <w:szCs w:val="21"/>
          <w:lang w:val="zh-CN"/>
        </w:rPr>
        <w:t>联  系  人：</w:t>
      </w:r>
      <w:r>
        <w:rPr>
          <w:rFonts w:hint="eastAsia" w:ascii="宋体" w:hAnsi="宋体" w:cs="宋体"/>
          <w:bCs/>
          <w:color w:val="0000C8"/>
          <w:kern w:val="2"/>
          <w:sz w:val="21"/>
          <w:szCs w:val="21"/>
          <w:lang w:val="zh-CN"/>
        </w:rPr>
        <w:t xml:space="preserve"> 王先生</w:t>
      </w:r>
    </w:p>
    <w:p>
      <w:pPr>
        <w:spacing w:line="288" w:lineRule="auto"/>
        <w:ind w:firstLine="420" w:firstLineChars="200"/>
        <w:rPr>
          <w:rFonts w:hint="default" w:ascii="宋体" w:hAnsi="宋体" w:cs="宋体"/>
          <w:bCs/>
          <w:kern w:val="2"/>
          <w:sz w:val="21"/>
          <w:szCs w:val="21"/>
          <w:lang w:val="en-US"/>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21056</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招标代理机构：</w:t>
      </w:r>
      <w:r>
        <w:rPr>
          <w:rFonts w:hint="eastAsia" w:ascii="宋体" w:hAnsi="宋体" w:cs="宋体"/>
          <w:sz w:val="21"/>
          <w:szCs w:val="21"/>
        </w:rPr>
        <w:t>中国石油天然气股份有限公司吉林油田分公司招标中心</w:t>
      </w:r>
      <w:r>
        <w:rPr>
          <w:rFonts w:hint="eastAsia" w:ascii="宋体" w:hAnsi="宋体" w:cs="宋体"/>
          <w:bCs/>
          <w:kern w:val="2"/>
          <w:sz w:val="21"/>
          <w:szCs w:val="21"/>
          <w:lang w:val="zh-CN"/>
        </w:rPr>
        <w:t xml:space="preserve">  </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地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址：</w:t>
      </w:r>
      <w:r>
        <w:rPr>
          <w:rFonts w:hint="eastAsia" w:ascii="宋体" w:hAnsi="宋体" w:cs="宋体"/>
          <w:sz w:val="21"/>
          <w:szCs w:val="21"/>
        </w:rPr>
        <w:t>吉林省松原市宁江区锦江大街267号</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 xml:space="preserve">邮   </w:t>
      </w:r>
      <w:r>
        <w:rPr>
          <w:rFonts w:hint="eastAsia" w:ascii="宋体" w:hAnsi="宋体" w:cs="宋体"/>
          <w:bCs/>
          <w:kern w:val="2"/>
          <w:sz w:val="21"/>
          <w:szCs w:val="21"/>
        </w:rPr>
        <w:t xml:space="preserve">  </w:t>
      </w:r>
      <w:r>
        <w:rPr>
          <w:rFonts w:hint="eastAsia" w:ascii="宋体" w:hAnsi="宋体" w:cs="宋体"/>
          <w:bCs/>
          <w:kern w:val="2"/>
          <w:sz w:val="21"/>
          <w:szCs w:val="21"/>
          <w:lang w:val="zh-CN"/>
        </w:rPr>
        <w:t xml:space="preserve"> 编：138000 </w:t>
      </w:r>
    </w:p>
    <w:p>
      <w:pPr>
        <w:spacing w:line="288" w:lineRule="auto"/>
        <w:ind w:firstLine="420" w:firstLineChars="200"/>
        <w:rPr>
          <w:rFonts w:hint="default" w:ascii="宋体" w:hAnsi="宋体" w:eastAsia="宋体" w:cs="宋体"/>
          <w:bCs/>
          <w:kern w:val="2"/>
          <w:sz w:val="21"/>
          <w:szCs w:val="21"/>
          <w:lang w:val="en-US" w:eastAsia="zh-CN"/>
        </w:rPr>
      </w:pPr>
      <w:r>
        <w:rPr>
          <w:rFonts w:hint="eastAsia" w:ascii="宋体" w:hAnsi="宋体" w:cs="宋体"/>
          <w:bCs/>
          <w:kern w:val="2"/>
          <w:sz w:val="21"/>
          <w:szCs w:val="21"/>
          <w:lang w:val="zh-CN"/>
        </w:rPr>
        <w:t>联  系  人：</w:t>
      </w:r>
      <w:r>
        <w:rPr>
          <w:rFonts w:hint="eastAsia" w:ascii="宋体" w:hAnsi="宋体" w:cs="宋体"/>
          <w:bCs/>
          <w:color w:val="0000FF"/>
          <w:kern w:val="2"/>
          <w:sz w:val="21"/>
          <w:szCs w:val="21"/>
          <w:lang w:val="zh-CN" w:eastAsia="zh-CN"/>
        </w:rPr>
        <w:t>高</w:t>
      </w:r>
      <w:r>
        <w:rPr>
          <w:rFonts w:hint="eastAsia" w:ascii="宋体" w:hAnsi="宋体" w:cs="宋体"/>
          <w:bCs/>
          <w:color w:val="0000C8"/>
          <w:kern w:val="2"/>
          <w:sz w:val="21"/>
          <w:szCs w:val="21"/>
          <w:lang w:val="zh-CN"/>
        </w:rPr>
        <w:t>女士</w:t>
      </w:r>
      <w:r>
        <w:rPr>
          <w:rFonts w:hint="eastAsia" w:ascii="宋体" w:hAnsi="宋体" w:cs="宋体"/>
          <w:bCs/>
          <w:color w:val="0000C8"/>
          <w:kern w:val="2"/>
          <w:sz w:val="21"/>
          <w:szCs w:val="21"/>
          <w:lang w:val="en-US" w:eastAsia="zh-CN"/>
        </w:rPr>
        <w:t>/王先生</w:t>
      </w:r>
    </w:p>
    <w:p>
      <w:pPr>
        <w:spacing w:line="288" w:lineRule="auto"/>
        <w:ind w:firstLine="420" w:firstLineChars="200"/>
        <w:rPr>
          <w:rFonts w:hint="default" w:ascii="宋体" w:hAnsi="宋体" w:eastAsia="宋体" w:cs="宋体"/>
          <w:bCs/>
          <w:color w:val="0000CC"/>
          <w:kern w:val="2"/>
          <w:sz w:val="21"/>
          <w:szCs w:val="21"/>
          <w:lang w:val="en-US" w:eastAsia="zh-CN"/>
        </w:rPr>
      </w:pPr>
      <w:r>
        <w:rPr>
          <w:rFonts w:hint="eastAsia" w:ascii="宋体" w:hAnsi="宋体" w:cs="宋体"/>
          <w:bCs/>
          <w:kern w:val="2"/>
          <w:sz w:val="21"/>
          <w:szCs w:val="21"/>
          <w:lang w:val="zh-CN"/>
        </w:rPr>
        <w:t xml:space="preserve">电     </w:t>
      </w:r>
      <w:r>
        <w:rPr>
          <w:rFonts w:hint="eastAsia" w:ascii="宋体" w:hAnsi="宋体" w:cs="宋体"/>
          <w:bCs/>
          <w:kern w:val="2"/>
          <w:sz w:val="21"/>
          <w:szCs w:val="21"/>
        </w:rPr>
        <w:t xml:space="preserve"> </w:t>
      </w:r>
      <w:r>
        <w:rPr>
          <w:rFonts w:hint="eastAsia" w:ascii="宋体" w:hAnsi="宋体" w:cs="宋体"/>
          <w:bCs/>
          <w:kern w:val="2"/>
          <w:sz w:val="21"/>
          <w:szCs w:val="21"/>
          <w:lang w:val="zh-CN"/>
        </w:rPr>
        <w:t>话：</w:t>
      </w:r>
      <w:r>
        <w:rPr>
          <w:rFonts w:hint="eastAsia" w:ascii="宋体" w:hAnsi="宋体" w:cs="宋体"/>
          <w:bCs/>
          <w:color w:val="0000C8"/>
          <w:kern w:val="2"/>
          <w:sz w:val="21"/>
          <w:szCs w:val="21"/>
          <w:lang w:val="zh-CN"/>
        </w:rPr>
        <w:t>0438-62</w:t>
      </w:r>
      <w:r>
        <w:rPr>
          <w:rFonts w:hint="eastAsia" w:ascii="宋体" w:hAnsi="宋体" w:cs="宋体"/>
          <w:bCs/>
          <w:color w:val="0000C8"/>
          <w:kern w:val="2"/>
          <w:sz w:val="21"/>
          <w:szCs w:val="21"/>
          <w:lang w:val="en-US" w:eastAsia="zh-CN"/>
        </w:rPr>
        <w:t>78513</w:t>
      </w:r>
      <w:r>
        <w:rPr>
          <w:rFonts w:hint="eastAsia" w:ascii="宋体" w:hAnsi="宋体" w:cs="宋体"/>
          <w:bCs/>
          <w:color w:val="0000C8"/>
          <w:kern w:val="2"/>
          <w:sz w:val="21"/>
          <w:szCs w:val="21"/>
          <w:lang w:val="zh-CN"/>
        </w:rPr>
        <w:t xml:space="preserve"> /62</w:t>
      </w:r>
      <w:r>
        <w:rPr>
          <w:rFonts w:hint="eastAsia" w:ascii="宋体" w:hAnsi="宋体" w:cs="宋体"/>
          <w:bCs/>
          <w:color w:val="0000C8"/>
          <w:kern w:val="2"/>
          <w:sz w:val="21"/>
          <w:szCs w:val="21"/>
          <w:lang w:val="en-US" w:eastAsia="zh-CN"/>
        </w:rPr>
        <w:t>78510</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中国石油电子招标投标交易平台技术支持</w:t>
      </w:r>
      <w:r>
        <w:rPr>
          <w:rFonts w:hint="eastAsia" w:ascii="宋体" w:hAnsi="宋体" w:cs="宋体"/>
          <w:bCs/>
          <w:kern w:val="2"/>
          <w:sz w:val="21"/>
          <w:szCs w:val="21"/>
          <w:highlight w:val="none"/>
          <w:lang w:val="zh-CN"/>
        </w:rPr>
        <w:t>电话：</w:t>
      </w:r>
      <w:r>
        <w:rPr>
          <w:rFonts w:hint="eastAsia" w:ascii="宋体" w:hAnsi="宋体" w:cs="宋体"/>
          <w:sz w:val="21"/>
          <w:szCs w:val="21"/>
          <w:highlight w:val="none"/>
        </w:rPr>
        <w:t>40</w:t>
      </w:r>
      <w:r>
        <w:rPr>
          <w:rFonts w:hint="eastAsia" w:ascii="宋体" w:hAnsi="宋体" w:cs="宋体"/>
          <w:sz w:val="21"/>
          <w:szCs w:val="21"/>
        </w:rPr>
        <w:t>08800114根据语音提示说出“电子招标”（服务时间8:30-17:30），</w:t>
      </w:r>
      <w:r>
        <w:rPr>
          <w:rFonts w:hint="eastAsia" w:ascii="宋体" w:hAnsi="宋体" w:cs="宋体"/>
          <w:bCs/>
          <w:kern w:val="2"/>
          <w:sz w:val="21"/>
          <w:szCs w:val="21"/>
          <w:lang w:val="zh-CN"/>
        </w:rPr>
        <w:t>如有疑问请在工作时间咨询。</w:t>
      </w:r>
    </w:p>
    <w:p>
      <w:pPr>
        <w:rPr>
          <w:rFonts w:hint="eastAsia" w:ascii="Arial" w:hAnsi="Arial" w:eastAsia="黑体"/>
          <w:b/>
          <w:bCs/>
          <w:kern w:val="2"/>
          <w:sz w:val="32"/>
          <w:szCs w:val="32"/>
          <w:lang w:val="zh-CN" w:eastAsia="zh-CN"/>
        </w:rPr>
      </w:pPr>
      <w:r>
        <w:rPr>
          <w:rFonts w:hint="eastAsia" w:ascii="Arial" w:hAnsi="Arial" w:eastAsia="黑体"/>
          <w:b/>
          <w:bCs/>
          <w:kern w:val="2"/>
          <w:sz w:val="32"/>
          <w:szCs w:val="32"/>
          <w:lang w:val="en-US" w:eastAsia="zh-CN"/>
        </w:rPr>
        <w:t>8</w:t>
      </w:r>
      <w:r>
        <w:rPr>
          <w:rFonts w:hint="eastAsia" w:ascii="Arial" w:hAnsi="Arial" w:eastAsia="黑体"/>
          <w:b/>
          <w:bCs/>
          <w:kern w:val="2"/>
          <w:sz w:val="32"/>
          <w:szCs w:val="32"/>
          <w:lang w:val="zh-CN" w:eastAsia="zh-CN"/>
        </w:rPr>
        <w:t>.其他</w:t>
      </w: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疫情期间不接待任何投标人来访，有问题可以通过信息化手段解决。疫情期间不允许投标人来开标现场。</w:t>
      </w:r>
    </w:p>
    <w:p>
      <w:pPr>
        <w:spacing w:line="288" w:lineRule="auto"/>
        <w:ind w:firstLine="420" w:firstLineChars="200"/>
        <w:rPr>
          <w:rFonts w:hint="eastAsia" w:ascii="宋体" w:hAnsi="宋体" w:cs="宋体"/>
          <w:bCs/>
          <w:kern w:val="2"/>
          <w:sz w:val="21"/>
          <w:szCs w:val="21"/>
          <w:lang w:val="zh-CN"/>
        </w:rPr>
      </w:pPr>
    </w:p>
    <w:p>
      <w:pPr>
        <w:spacing w:line="288" w:lineRule="auto"/>
        <w:ind w:firstLine="420" w:firstLineChars="200"/>
        <w:rPr>
          <w:rFonts w:hint="eastAsia" w:ascii="宋体" w:hAnsi="宋体" w:cs="宋体"/>
          <w:bCs/>
          <w:kern w:val="2"/>
          <w:sz w:val="21"/>
          <w:szCs w:val="21"/>
          <w:lang w:val="zh-CN"/>
        </w:rPr>
      </w:pPr>
      <w:r>
        <w:rPr>
          <w:rFonts w:hint="eastAsia" w:ascii="宋体" w:hAnsi="宋体" w:cs="宋体"/>
          <w:bCs/>
          <w:kern w:val="2"/>
          <w:sz w:val="21"/>
          <w:szCs w:val="21"/>
          <w:lang w:val="zh-CN"/>
        </w:rPr>
        <w:t>招标公告中未尽事宜或与招标文件不符之处，以招标文件为准。</w:t>
      </w:r>
    </w:p>
    <w:p>
      <w:pPr>
        <w:spacing w:line="288" w:lineRule="auto"/>
        <w:rPr>
          <w:rFonts w:hint="eastAsia" w:ascii="宋体" w:hAnsi="宋体" w:cs="宋体"/>
          <w:sz w:val="21"/>
          <w:szCs w:val="21"/>
        </w:rPr>
      </w:pPr>
    </w:p>
    <w:p>
      <w:pPr>
        <w:spacing w:line="288" w:lineRule="auto"/>
        <w:rPr>
          <w:rFonts w:hint="eastAsia" w:ascii="宋体" w:hAnsi="宋体" w:cs="宋体"/>
          <w:sz w:val="21"/>
          <w:szCs w:val="21"/>
        </w:rPr>
      </w:pPr>
    </w:p>
    <w:p>
      <w:pPr>
        <w:overflowPunct w:val="0"/>
        <w:spacing w:line="288" w:lineRule="auto"/>
        <w:ind w:right="420"/>
        <w:jc w:val="right"/>
        <w:rPr>
          <w:rFonts w:hint="eastAsia" w:ascii="宋体" w:hAnsi="宋体" w:cs="宋体"/>
          <w:sz w:val="21"/>
          <w:szCs w:val="21"/>
        </w:rPr>
      </w:pPr>
      <w:r>
        <w:rPr>
          <w:rFonts w:hint="eastAsia" w:ascii="宋体" w:hAnsi="宋体" w:cs="宋体"/>
          <w:sz w:val="21"/>
          <w:szCs w:val="21"/>
        </w:rPr>
        <w:t>中国石油吉林油田公司招标中心</w:t>
      </w:r>
    </w:p>
    <w:p>
      <w:pPr>
        <w:overflowPunct w:val="0"/>
        <w:spacing w:line="288" w:lineRule="auto"/>
        <w:ind w:right="420" w:firstLine="6090" w:firstLineChars="2900"/>
        <w:jc w:val="right"/>
        <w:rPr>
          <w:rFonts w:hint="eastAsia" w:ascii="宋体" w:hAnsi="宋体" w:cs="宋体"/>
          <w:color w:val="0000CC"/>
          <w:sz w:val="21"/>
          <w:szCs w:val="21"/>
          <w:highlight w:val="none"/>
        </w:rPr>
      </w:pPr>
      <w:r>
        <w:rPr>
          <w:rFonts w:hint="eastAsia" w:ascii="宋体" w:hAnsi="宋体" w:cs="宋体"/>
          <w:sz w:val="21"/>
          <w:szCs w:val="21"/>
          <w:highlight w:val="none"/>
        </w:rPr>
        <w:t xml:space="preserve">  </w:t>
      </w:r>
      <w:r>
        <w:rPr>
          <w:rFonts w:hint="eastAsia" w:ascii="宋体" w:hAnsi="宋体" w:cs="宋体"/>
          <w:color w:val="0000CC"/>
          <w:sz w:val="21"/>
          <w:szCs w:val="21"/>
          <w:highlight w:val="none"/>
        </w:rPr>
        <w:t xml:space="preserve"> </w:t>
      </w:r>
      <w:r>
        <w:rPr>
          <w:rFonts w:hint="eastAsia" w:ascii="宋体" w:hAnsi="宋体" w:cs="宋体"/>
          <w:color w:val="0000C8"/>
          <w:sz w:val="21"/>
          <w:szCs w:val="21"/>
          <w:highlight w:val="none"/>
        </w:rPr>
        <w:t>20</w:t>
      </w:r>
      <w:r>
        <w:rPr>
          <w:rFonts w:hint="eastAsia" w:ascii="宋体" w:hAnsi="宋体" w:cs="宋体"/>
          <w:color w:val="0000C8"/>
          <w:sz w:val="21"/>
          <w:szCs w:val="21"/>
          <w:highlight w:val="none"/>
          <w:lang w:val="en-US" w:eastAsia="zh-CN"/>
        </w:rPr>
        <w:t>20</w:t>
      </w:r>
      <w:r>
        <w:rPr>
          <w:rFonts w:hint="eastAsia" w:ascii="宋体" w:hAnsi="宋体" w:cs="宋体"/>
          <w:color w:val="0000C8"/>
          <w:sz w:val="21"/>
          <w:szCs w:val="21"/>
          <w:highlight w:val="none"/>
        </w:rPr>
        <w:t>年</w:t>
      </w:r>
      <w:r>
        <w:rPr>
          <w:rFonts w:hint="eastAsia" w:ascii="宋体" w:hAnsi="宋体" w:cs="宋体"/>
          <w:color w:val="0000C8"/>
          <w:sz w:val="21"/>
          <w:szCs w:val="21"/>
          <w:highlight w:val="none"/>
          <w:lang w:val="en-US" w:eastAsia="zh-CN"/>
        </w:rPr>
        <w:t>7</w:t>
      </w:r>
      <w:r>
        <w:rPr>
          <w:rFonts w:hint="eastAsia" w:ascii="宋体" w:hAnsi="宋体" w:cs="宋体"/>
          <w:color w:val="0000C8"/>
          <w:sz w:val="21"/>
          <w:szCs w:val="21"/>
          <w:highlight w:val="none"/>
        </w:rPr>
        <w:t>月</w:t>
      </w:r>
      <w:r>
        <w:rPr>
          <w:rFonts w:hint="eastAsia" w:ascii="宋体" w:hAnsi="宋体" w:cs="宋体"/>
          <w:color w:val="0000C8"/>
          <w:sz w:val="21"/>
          <w:szCs w:val="21"/>
          <w:highlight w:val="none"/>
          <w:lang w:val="en-US" w:eastAsia="zh-CN"/>
        </w:rPr>
        <w:t>28</w:t>
      </w:r>
      <w:r>
        <w:rPr>
          <w:rFonts w:hint="eastAsia" w:ascii="宋体" w:hAnsi="宋体" w:cs="宋体"/>
          <w:color w:val="0000C8"/>
          <w:sz w:val="21"/>
          <w:szCs w:val="21"/>
          <w:highlight w:val="none"/>
        </w:rPr>
        <w:t>日</w:t>
      </w:r>
    </w:p>
    <w:p>
      <w:pPr>
        <w:overflowPunct w:val="0"/>
        <w:spacing w:line="288" w:lineRule="auto"/>
        <w:ind w:right="420" w:firstLine="6380" w:firstLineChars="2900"/>
        <w:rPr>
          <w:color w:val="0000CC"/>
        </w:rPr>
      </w:pPr>
    </w:p>
    <w:p>
      <w:pPr>
        <w:spacing w:line="288" w:lineRule="auto"/>
        <w:rPr>
          <w:rFonts w:hint="eastAsia" w:ascii="宋体" w:hAnsi="宋体" w:cs="宋体"/>
          <w:sz w:val="21"/>
          <w:szCs w:val="21"/>
        </w:rPr>
      </w:pPr>
      <w:r>
        <w:rPr>
          <w:rFonts w:hint="eastAsia" w:hAnsi="宋体" w:cs="宋体"/>
          <w:szCs w:val="21"/>
        </w:rPr>
        <w:t xml:space="preserve">        </w:t>
      </w:r>
      <w:r>
        <w:rPr>
          <w:rFonts w:hint="eastAsia" w:ascii="宋体" w:hAnsi="宋体" w:cs="宋体"/>
          <w:sz w:val="21"/>
          <w:szCs w:val="21"/>
        </w:rPr>
        <w:t>附件1：货物需求一览表</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附件2：技术要求</w:t>
      </w:r>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3</w:t>
      </w:r>
      <w:r>
        <w:rPr>
          <w:rFonts w:hint="eastAsia" w:ascii="宋体" w:hAnsi="宋体" w:cs="宋体"/>
          <w:sz w:val="21"/>
          <w:szCs w:val="21"/>
        </w:rPr>
        <w:t>：《中国石油天然气集团有限公司投标人失信行为管理办法（试行）》</w:t>
      </w:r>
      <w:bookmarkStart w:id="31" w:name="page14"/>
      <w:bookmarkEnd w:id="31"/>
    </w:p>
    <w:p>
      <w:pPr>
        <w:spacing w:line="288" w:lineRule="auto"/>
        <w:ind w:firstLine="420" w:firstLineChars="200"/>
        <w:rPr>
          <w:rFonts w:hint="eastAsia" w:ascii="宋体" w:hAnsi="宋体" w:cs="宋体"/>
          <w:sz w:val="21"/>
          <w:szCs w:val="21"/>
        </w:rPr>
      </w:pPr>
      <w:r>
        <w:rPr>
          <w:rFonts w:hint="eastAsia" w:ascii="宋体" w:hAnsi="宋体" w:cs="宋体"/>
          <w:sz w:val="21"/>
          <w:szCs w:val="21"/>
        </w:rPr>
        <w:t>附件</w:t>
      </w:r>
      <w:r>
        <w:rPr>
          <w:rFonts w:hint="eastAsia" w:ascii="宋体" w:hAnsi="宋体" w:cs="宋体"/>
          <w:sz w:val="21"/>
          <w:szCs w:val="21"/>
          <w:lang w:val="en-US" w:eastAsia="zh-CN"/>
        </w:rPr>
        <w:t>4</w:t>
      </w:r>
      <w:r>
        <w:rPr>
          <w:rFonts w:hint="eastAsia" w:ascii="宋体" w:hAnsi="宋体" w:cs="宋体"/>
          <w:sz w:val="21"/>
          <w:szCs w:val="21"/>
        </w:rPr>
        <w:t>：投标保证金提交流程</w:t>
      </w:r>
    </w:p>
    <w:p>
      <w:pPr>
        <w:spacing w:line="288" w:lineRule="auto"/>
        <w:outlineLvl w:val="2"/>
        <w:rPr>
          <w:rFonts w:hint="eastAsia" w:hAnsi="宋体" w:cs="宋体"/>
          <w:szCs w:val="21"/>
        </w:rPr>
      </w:pPr>
      <w:r>
        <w:rPr>
          <w:rFonts w:hint="eastAsia" w:ascii="黑体" w:hAnsi="宋体" w:eastAsia="黑体"/>
          <w:bCs/>
          <w:kern w:val="2"/>
          <w:sz w:val="28"/>
          <w:szCs w:val="28"/>
        </w:rPr>
        <w:br w:type="page"/>
      </w:r>
      <w:bookmarkStart w:id="32" w:name="_Toc19505"/>
      <w:r>
        <w:rPr>
          <w:rFonts w:hint="eastAsia" w:ascii="黑体" w:hAnsi="宋体" w:eastAsia="黑体"/>
          <w:bCs/>
          <w:kern w:val="2"/>
          <w:sz w:val="28"/>
          <w:szCs w:val="28"/>
        </w:rPr>
        <w:t>附件1：货物需求一览表</w:t>
      </w:r>
      <w:bookmarkEnd w:id="32"/>
    </w:p>
    <w:p>
      <w:pPr>
        <w:spacing w:after="120" w:afterLines="50" w:line="288" w:lineRule="auto"/>
        <w:jc w:val="center"/>
        <w:rPr>
          <w:rFonts w:hint="eastAsia" w:ascii="宋体" w:hAnsi="宋体" w:cs="宋体"/>
          <w:b/>
          <w:sz w:val="21"/>
          <w:szCs w:val="21"/>
        </w:rPr>
      </w:pPr>
      <w:r>
        <w:rPr>
          <w:rFonts w:hint="eastAsia" w:ascii="宋体" w:hAnsi="宋体" w:cs="宋体"/>
          <w:b/>
          <w:sz w:val="21"/>
          <w:szCs w:val="21"/>
        </w:rPr>
        <w:t>货物需求一览表</w:t>
      </w:r>
    </w:p>
    <w:tbl>
      <w:tblPr>
        <w:tblStyle w:val="7"/>
        <w:tblW w:w="92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667"/>
        <w:gridCol w:w="839"/>
        <w:gridCol w:w="720"/>
        <w:gridCol w:w="1522"/>
        <w:gridCol w:w="1545"/>
        <w:gridCol w:w="1425"/>
        <w:gridCol w:w="1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4" w:hRule="atLeast"/>
          <w:jc w:val="center"/>
        </w:trPr>
        <w:tc>
          <w:tcPr>
            <w:tcW w:w="517" w:type="dxa"/>
            <w:vAlign w:val="center"/>
          </w:tcPr>
          <w:p>
            <w:pPr>
              <w:widowControl/>
              <w:jc w:val="center"/>
              <w:rPr>
                <w:rFonts w:ascii="宋体" w:hAnsi="宋体" w:cs="宋体"/>
                <w:color w:val="000000"/>
                <w:szCs w:val="21"/>
              </w:rPr>
            </w:pPr>
            <w:r>
              <w:rPr>
                <w:rFonts w:hint="eastAsia" w:ascii="宋体" w:hAnsi="宋体" w:cs="宋体"/>
                <w:color w:val="000000"/>
                <w:szCs w:val="21"/>
              </w:rPr>
              <w:t>序号</w:t>
            </w:r>
          </w:p>
        </w:tc>
        <w:tc>
          <w:tcPr>
            <w:tcW w:w="1667" w:type="dxa"/>
            <w:vAlign w:val="center"/>
          </w:tcPr>
          <w:p>
            <w:pPr>
              <w:widowControl/>
              <w:jc w:val="center"/>
              <w:rPr>
                <w:rFonts w:ascii="宋体" w:hAnsi="宋体" w:cs="宋体"/>
                <w:color w:val="000000"/>
                <w:szCs w:val="21"/>
              </w:rPr>
            </w:pPr>
            <w:r>
              <w:rPr>
                <w:rFonts w:hint="eastAsia" w:ascii="宋体" w:hAnsi="宋体" w:cs="宋体"/>
                <w:color w:val="000000"/>
                <w:szCs w:val="21"/>
              </w:rPr>
              <w:t>物料描述</w:t>
            </w:r>
          </w:p>
        </w:tc>
        <w:tc>
          <w:tcPr>
            <w:tcW w:w="839" w:type="dxa"/>
            <w:vAlign w:val="center"/>
          </w:tcPr>
          <w:p>
            <w:pPr>
              <w:widowControl/>
              <w:jc w:val="center"/>
              <w:rPr>
                <w:rFonts w:hint="eastAsia" w:ascii="宋体" w:hAnsi="宋体" w:cs="宋体"/>
                <w:color w:val="000000"/>
                <w:szCs w:val="21"/>
              </w:rPr>
            </w:pPr>
            <w:r>
              <w:rPr>
                <w:rFonts w:hint="eastAsia" w:ascii="宋体" w:hAnsi="宋体" w:cs="宋体"/>
                <w:color w:val="000000"/>
                <w:szCs w:val="21"/>
              </w:rPr>
              <w:t>计量</w:t>
            </w:r>
          </w:p>
          <w:p>
            <w:pPr>
              <w:widowControl/>
              <w:jc w:val="center"/>
              <w:rPr>
                <w:rFonts w:ascii="宋体" w:hAnsi="宋体" w:cs="宋体"/>
                <w:color w:val="000000"/>
                <w:szCs w:val="21"/>
              </w:rPr>
            </w:pPr>
            <w:r>
              <w:rPr>
                <w:rFonts w:hint="eastAsia" w:ascii="宋体" w:hAnsi="宋体" w:cs="宋体"/>
                <w:color w:val="000000"/>
                <w:szCs w:val="21"/>
              </w:rPr>
              <w:t>单位</w:t>
            </w:r>
          </w:p>
        </w:tc>
        <w:tc>
          <w:tcPr>
            <w:tcW w:w="720" w:type="dxa"/>
            <w:vAlign w:val="center"/>
          </w:tcPr>
          <w:p>
            <w:pPr>
              <w:widowControl/>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预计</w:t>
            </w:r>
          </w:p>
          <w:p>
            <w:pPr>
              <w:widowControl/>
              <w:jc w:val="center"/>
              <w:rPr>
                <w:rFonts w:ascii="宋体" w:hAnsi="宋体" w:cs="宋体"/>
                <w:color w:val="000000"/>
                <w:szCs w:val="21"/>
              </w:rPr>
            </w:pPr>
            <w:r>
              <w:rPr>
                <w:rFonts w:hint="eastAsia" w:ascii="宋体" w:hAnsi="宋体" w:cs="宋体"/>
                <w:color w:val="000000"/>
                <w:szCs w:val="21"/>
              </w:rPr>
              <w:t>数量</w:t>
            </w:r>
          </w:p>
        </w:tc>
        <w:tc>
          <w:tcPr>
            <w:tcW w:w="1522" w:type="dxa"/>
            <w:vAlign w:val="center"/>
          </w:tcPr>
          <w:p>
            <w:pPr>
              <w:widowControl/>
              <w:jc w:val="center"/>
              <w:rPr>
                <w:rFonts w:ascii="宋体" w:hAnsi="宋体" w:cs="宋体"/>
                <w:color w:val="000000"/>
                <w:szCs w:val="21"/>
              </w:rPr>
            </w:pPr>
            <w:r>
              <w:rPr>
                <w:rFonts w:hint="eastAsia" w:ascii="宋体" w:hAnsi="宋体" w:cs="宋体"/>
                <w:color w:val="000000"/>
                <w:szCs w:val="21"/>
              </w:rPr>
              <w:t>技术标准及要求</w:t>
            </w:r>
          </w:p>
        </w:tc>
        <w:tc>
          <w:tcPr>
            <w:tcW w:w="1545" w:type="dxa"/>
            <w:vAlign w:val="center"/>
          </w:tcPr>
          <w:p>
            <w:pPr>
              <w:widowControl/>
              <w:jc w:val="center"/>
              <w:rPr>
                <w:rFonts w:ascii="宋体" w:hAnsi="宋体" w:cs="宋体"/>
                <w:color w:val="000000"/>
                <w:szCs w:val="21"/>
              </w:rPr>
            </w:pPr>
            <w:r>
              <w:rPr>
                <w:rFonts w:hint="eastAsia" w:ascii="宋体" w:hAnsi="宋体" w:cs="宋体"/>
                <w:color w:val="000000"/>
                <w:szCs w:val="21"/>
              </w:rPr>
              <w:t>交货日期</w:t>
            </w:r>
          </w:p>
        </w:tc>
        <w:tc>
          <w:tcPr>
            <w:tcW w:w="1425" w:type="dxa"/>
            <w:vAlign w:val="center"/>
          </w:tcPr>
          <w:p>
            <w:pPr>
              <w:widowControl/>
              <w:jc w:val="center"/>
              <w:rPr>
                <w:rFonts w:ascii="宋体" w:hAnsi="宋体" w:cs="宋体"/>
                <w:color w:val="000000"/>
                <w:szCs w:val="21"/>
              </w:rPr>
            </w:pPr>
            <w:r>
              <w:rPr>
                <w:rFonts w:hint="eastAsia" w:ascii="宋体" w:hAnsi="宋体" w:cs="宋体"/>
                <w:color w:val="000000"/>
                <w:szCs w:val="21"/>
              </w:rPr>
              <w:t>交货地点</w:t>
            </w:r>
          </w:p>
        </w:tc>
        <w:tc>
          <w:tcPr>
            <w:tcW w:w="1027" w:type="dxa"/>
            <w:vAlign w:val="center"/>
          </w:tcPr>
          <w:p>
            <w:pPr>
              <w:widowControl/>
              <w:jc w:val="center"/>
              <w:rPr>
                <w:rFonts w:hint="eastAsia" w:ascii="宋体" w:hAnsi="宋体" w:cs="宋体"/>
                <w:color w:val="000000"/>
                <w:szCs w:val="21"/>
              </w:rPr>
            </w:pPr>
            <w:r>
              <w:rPr>
                <w:rFonts w:hint="eastAsia" w:ascii="宋体" w:hAnsi="宋体" w:cs="宋体"/>
                <w:color w:val="000000"/>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8" w:hRule="atLeast"/>
          <w:jc w:val="center"/>
        </w:trPr>
        <w:tc>
          <w:tcPr>
            <w:tcW w:w="517" w:type="dxa"/>
            <w:vAlign w:val="center"/>
          </w:tcPr>
          <w:p>
            <w:pPr>
              <w:jc w:val="center"/>
              <w:rPr>
                <w:rFonts w:ascii="宋体" w:hAnsi="宋体" w:cs="宋体"/>
                <w:color w:val="000000"/>
                <w:szCs w:val="21"/>
              </w:rPr>
            </w:pPr>
            <w:r>
              <w:rPr>
                <w:rFonts w:hint="eastAsia"/>
                <w:sz w:val="20"/>
                <w:szCs w:val="20"/>
              </w:rPr>
              <w:t>1</w:t>
            </w:r>
          </w:p>
        </w:tc>
        <w:tc>
          <w:tcPr>
            <w:tcW w:w="1667" w:type="dxa"/>
            <w:vAlign w:val="center"/>
          </w:tcPr>
          <w:p>
            <w:pPr>
              <w:keepNext w:val="0"/>
              <w:keepLines w:val="0"/>
              <w:widowControl/>
              <w:suppressLineNumbers w:val="0"/>
              <w:jc w:val="left"/>
              <w:textAlignment w:val="center"/>
              <w:rPr>
                <w:rFonts w:hint="default" w:ascii="宋体" w:hAnsi="宋体" w:eastAsia="宋体" w:cs="宋体"/>
                <w:szCs w:val="21"/>
                <w:lang w:val="en-US" w:eastAsia="zh-CN"/>
              </w:rPr>
            </w:pPr>
            <w:r>
              <w:rPr>
                <w:rFonts w:hint="eastAsia" w:ascii="宋体" w:hAnsi="宋体" w:eastAsia="宋体" w:cs="宋体"/>
                <w:szCs w:val="21"/>
                <w:lang w:val="en-US" w:eastAsia="zh-CN"/>
              </w:rPr>
              <w:t>水力锚SLM（九牙）</w:t>
            </w:r>
            <w:r>
              <w:rPr>
                <w:rFonts w:hint="eastAsia" w:ascii="仿宋" w:hAnsi="仿宋" w:eastAsia="仿宋"/>
                <w:sz w:val="24"/>
                <w:szCs w:val="24"/>
              </w:rPr>
              <w:t>114*50mm</w:t>
            </w:r>
          </w:p>
        </w:tc>
        <w:tc>
          <w:tcPr>
            <w:tcW w:w="839" w:type="dxa"/>
            <w:vAlign w:val="center"/>
          </w:tcPr>
          <w:p>
            <w:pPr>
              <w:keepNext w:val="0"/>
              <w:keepLines w:val="0"/>
              <w:widowControl/>
              <w:suppressLineNumbers w:val="0"/>
              <w:jc w:val="center"/>
              <w:textAlignment w:val="center"/>
              <w:rPr>
                <w:rFonts w:hint="eastAsia" w:ascii="宋体" w:hAnsi="宋体" w:eastAsia="宋体" w:cs="宋体"/>
                <w:bCs/>
                <w:szCs w:val="21"/>
                <w:lang w:eastAsia="zh-CN"/>
              </w:rPr>
            </w:pPr>
            <w:r>
              <w:rPr>
                <w:rFonts w:hint="eastAsia" w:ascii="宋体" w:hAnsi="宋体" w:eastAsia="宋体" w:cs="宋体"/>
                <w:bCs/>
                <w:szCs w:val="21"/>
                <w:lang w:eastAsia="zh-CN"/>
              </w:rPr>
              <w:t>套</w:t>
            </w:r>
          </w:p>
        </w:tc>
        <w:tc>
          <w:tcPr>
            <w:tcW w:w="720" w:type="dxa"/>
            <w:vAlign w:val="center"/>
          </w:tcPr>
          <w:p>
            <w:pPr>
              <w:keepNext w:val="0"/>
              <w:keepLines w:val="0"/>
              <w:widowControl/>
              <w:suppressLineNumbers w:val="0"/>
              <w:jc w:val="center"/>
              <w:textAlignment w:val="center"/>
              <w:rPr>
                <w:rFonts w:hint="eastAsia" w:ascii="宋体" w:hAnsi="宋体" w:eastAsia="宋体"/>
                <w:szCs w:val="21"/>
                <w:lang w:val="en-US" w:eastAsia="zh-CN"/>
              </w:rPr>
            </w:pPr>
            <w:r>
              <w:rPr>
                <w:rFonts w:hint="eastAsia" w:ascii="宋体" w:hAnsi="宋体" w:eastAsia="宋体" w:cs="宋体"/>
                <w:i w:val="0"/>
                <w:color w:val="000000"/>
                <w:kern w:val="0"/>
                <w:sz w:val="20"/>
                <w:szCs w:val="20"/>
                <w:u w:val="none"/>
                <w:lang w:val="en-US" w:eastAsia="zh-CN" w:bidi="ar"/>
              </w:rPr>
              <w:t xml:space="preserve">1 </w:t>
            </w:r>
          </w:p>
        </w:tc>
        <w:tc>
          <w:tcPr>
            <w:tcW w:w="1522" w:type="dxa"/>
            <w:vAlign w:val="center"/>
          </w:tcPr>
          <w:p>
            <w:pPr>
              <w:widowControl/>
              <w:jc w:val="center"/>
              <w:rPr>
                <w:rFonts w:hint="eastAsia" w:ascii="宋体" w:hAnsi="宋体" w:eastAsia="宋体" w:cs="宋体"/>
                <w:color w:val="000000"/>
                <w:szCs w:val="21"/>
                <w:lang w:eastAsia="zh-CN"/>
              </w:rPr>
            </w:pPr>
            <w:r>
              <w:rPr>
                <w:rFonts w:hint="eastAsia" w:ascii="宋体" w:hAnsi="宋体" w:cs="宋体"/>
                <w:color w:val="000000"/>
                <w:szCs w:val="21"/>
                <w:lang w:eastAsia="zh-CN"/>
              </w:rPr>
              <w:t>见附件</w:t>
            </w:r>
            <w:r>
              <w:rPr>
                <w:rFonts w:hint="eastAsia" w:ascii="宋体" w:hAnsi="宋体" w:cs="宋体"/>
                <w:color w:val="000000"/>
                <w:szCs w:val="21"/>
                <w:lang w:val="en-US" w:eastAsia="zh-CN"/>
              </w:rPr>
              <w:t>技术要求</w:t>
            </w:r>
          </w:p>
        </w:tc>
        <w:tc>
          <w:tcPr>
            <w:tcW w:w="1545" w:type="dxa"/>
            <w:vAlign w:val="center"/>
          </w:tcPr>
          <w:p>
            <w:pPr>
              <w:widowControl/>
              <w:jc w:val="center"/>
              <w:rPr>
                <w:rFonts w:hint="eastAsia" w:ascii="宋体" w:hAnsi="宋体" w:eastAsia="宋体" w:cs="宋体"/>
                <w:color w:val="000000"/>
                <w:szCs w:val="21"/>
                <w:lang w:eastAsia="zh-CN"/>
              </w:rPr>
            </w:pPr>
            <w:r>
              <w:rPr>
                <w:rFonts w:hint="eastAsia" w:cs="宋体"/>
                <w:u w:val="none"/>
              </w:rPr>
              <w:t>自采购订单签订之日起60日内交货</w:t>
            </w:r>
          </w:p>
        </w:tc>
        <w:tc>
          <w:tcPr>
            <w:tcW w:w="1425" w:type="dxa"/>
            <w:vAlign w:val="center"/>
          </w:tcPr>
          <w:p>
            <w:pPr>
              <w:widowControl/>
              <w:jc w:val="center"/>
              <w:rPr>
                <w:rFonts w:ascii="宋体" w:hAnsi="宋体" w:cs="宋体"/>
                <w:color w:val="000000"/>
                <w:szCs w:val="21"/>
              </w:rPr>
            </w:pPr>
            <w:r>
              <w:rPr>
                <w:rFonts w:hint="eastAsia" w:cs="宋体"/>
                <w:u w:val="none"/>
              </w:rPr>
              <w:t>吉林油田使用单位施工现场</w:t>
            </w:r>
          </w:p>
        </w:tc>
        <w:tc>
          <w:tcPr>
            <w:tcW w:w="1027" w:type="dxa"/>
            <w:vAlign w:val="center"/>
          </w:tcPr>
          <w:p>
            <w:pPr>
              <w:widowControl/>
              <w:jc w:val="center"/>
              <w:rPr>
                <w:rFonts w:hint="eastAsia" w:ascii="宋体" w:hAnsi="宋体" w:cs="宋体"/>
                <w:color w:val="000000"/>
                <w:szCs w:val="21"/>
                <w:lang w:eastAsia="zh-CN"/>
              </w:rPr>
            </w:pPr>
          </w:p>
        </w:tc>
      </w:tr>
    </w:tbl>
    <w:p>
      <w:pPr>
        <w:spacing w:line="288" w:lineRule="auto"/>
        <w:rPr>
          <w:rFonts w:hint="eastAsia" w:eastAsia="宋体"/>
          <w:lang w:eastAsia="zh-CN"/>
        </w:rPr>
      </w:pPr>
      <w:r>
        <w:rPr>
          <w:rFonts w:hint="eastAsia"/>
          <w:lang w:eastAsia="zh-CN"/>
        </w:rPr>
        <w:t>数量以实际发生为准</w:t>
      </w:r>
    </w:p>
    <w:p>
      <w:pPr>
        <w:spacing w:line="288" w:lineRule="auto"/>
        <w:rPr>
          <w:rFonts w:hint="eastAsia" w:ascii="黑体" w:hAnsi="宋体" w:eastAsia="黑体"/>
          <w:bCs/>
          <w:kern w:val="2"/>
          <w:sz w:val="28"/>
          <w:szCs w:val="28"/>
        </w:rPr>
      </w:pPr>
    </w:p>
    <w:p>
      <w:pPr>
        <w:spacing w:line="288" w:lineRule="auto"/>
        <w:outlineLvl w:val="2"/>
        <w:rPr>
          <w:rFonts w:hint="eastAsia" w:ascii="黑体" w:hAnsi="宋体" w:eastAsia="黑体"/>
          <w:bCs/>
          <w:kern w:val="2"/>
          <w:sz w:val="28"/>
          <w:szCs w:val="28"/>
        </w:rPr>
      </w:pPr>
      <w:r>
        <w:rPr>
          <w:rFonts w:hint="eastAsia" w:ascii="黑体" w:hAnsi="宋体" w:eastAsia="黑体"/>
          <w:bCs/>
          <w:kern w:val="2"/>
          <w:sz w:val="28"/>
          <w:szCs w:val="28"/>
        </w:rPr>
        <w:br w:type="page"/>
      </w:r>
      <w:bookmarkStart w:id="33" w:name="_Toc26145"/>
      <w:r>
        <w:rPr>
          <w:rFonts w:hint="eastAsia" w:ascii="黑体" w:hAnsi="宋体" w:eastAsia="黑体"/>
          <w:bCs/>
          <w:kern w:val="2"/>
          <w:sz w:val="28"/>
          <w:szCs w:val="28"/>
        </w:rPr>
        <w:t>附件2：技术要求</w:t>
      </w:r>
      <w:bookmarkEnd w:id="33"/>
    </w:p>
    <w:p>
      <w:pPr>
        <w:pStyle w:val="5"/>
        <w:spacing w:before="156" w:beforeLines="50" w:beforeAutospacing="0" w:after="156" w:afterLines="50" w:afterAutospacing="0"/>
        <w:jc w:val="center"/>
        <w:rPr>
          <w:rFonts w:hint="eastAsia" w:ascii="黑体" w:eastAsia="黑体"/>
          <w:color w:val="auto"/>
          <w:sz w:val="32"/>
          <w:szCs w:val="32"/>
        </w:rPr>
      </w:pPr>
      <w:r>
        <w:rPr>
          <w:rFonts w:hint="eastAsia"/>
          <w:bCs/>
          <w:color w:val="000000"/>
          <w:sz w:val="32"/>
          <w:szCs w:val="32"/>
          <w:lang w:eastAsia="zh-CN"/>
        </w:rPr>
        <w:t>水力锚SLM（九牙）</w:t>
      </w:r>
      <w:r>
        <w:rPr>
          <w:rFonts w:hint="eastAsia" w:hAnsi="宋体"/>
          <w:bCs/>
          <w:color w:val="000000"/>
          <w:sz w:val="32"/>
          <w:szCs w:val="32"/>
          <w:lang w:eastAsia="zh-CN"/>
        </w:rPr>
        <w:t>采购</w:t>
      </w:r>
      <w:r>
        <w:rPr>
          <w:rFonts w:hint="eastAsia" w:hAnsi="宋体"/>
          <w:bCs/>
          <w:color w:val="000000"/>
          <w:sz w:val="32"/>
          <w:szCs w:val="32"/>
        </w:rPr>
        <w:t>招标技术规范</w:t>
      </w:r>
    </w:p>
    <w:p>
      <w:pPr>
        <w:bidi w:val="0"/>
      </w:pPr>
      <w:bookmarkStart w:id="34" w:name="_Toc15481775"/>
      <w:r>
        <w:t>1  范围</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1.1 本标准适用于吉林油田公司水力锚SLM（九牙）招标。</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1.2 本标准规定了水力锚SLM（九牙）招标的资质要求和技术要求。当本标准与国家法律、行政法规的规定相抵触时，应按国家法律、行政法规的规定执行。</w:t>
      </w:r>
    </w:p>
    <w:p>
      <w:pPr>
        <w:bidi w:val="0"/>
      </w:pPr>
      <w:r>
        <w:t>2 规范性引用文件</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下列文件对于本文件的应用是必不可少的。凡是注日期的引用文件，仅注日期的版本适用于本文件。凡是不注日期的引用文件，其最新版本（包括所有的修改单）适用于本文件。</w:t>
      </w:r>
    </w:p>
    <w:p>
      <w:pPr>
        <w:keepLines w:val="0"/>
        <w:pageBreakBefore w:val="0"/>
        <w:wordWrap/>
        <w:overflowPunct/>
        <w:topLinePunct w:val="0"/>
        <w:autoSpaceDE/>
        <w:autoSpaceDN/>
        <w:bidi w:val="0"/>
        <w:adjustRightInd/>
        <w:snapToGrid/>
        <w:spacing w:line="288" w:lineRule="auto"/>
        <w:ind w:firstLine="420" w:firstLineChars="200"/>
        <w:jc w:val="both"/>
        <w:rPr>
          <w:rFonts w:hint="default" w:ascii="宋体" w:hAnsi="宋体" w:cs="宋体"/>
          <w:kern w:val="2"/>
          <w:sz w:val="21"/>
          <w:szCs w:val="21"/>
          <w:highlight w:val="none"/>
        </w:rPr>
      </w:pPr>
      <w:r>
        <w:rPr>
          <w:rFonts w:ascii="宋体" w:hAnsi="宋体" w:cs="宋体"/>
          <w:kern w:val="2"/>
          <w:sz w:val="21"/>
          <w:szCs w:val="21"/>
          <w:highlight w:val="none"/>
        </w:rPr>
        <w:t>SY/T 5628      水力锚</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SY/T 7014      分段压裂工具</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p>
    <w:p>
      <w:pPr>
        <w:bidi w:val="0"/>
      </w:pPr>
      <w:r>
        <w:t>3 物资概述</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物资名称及描述：水力锚 SLM（九牙）</w:t>
      </w:r>
    </w:p>
    <w:p>
      <w:pPr>
        <w:keepNext w:val="0"/>
        <w:keepLines w:val="0"/>
        <w:pageBreakBefore w:val="0"/>
        <w:widowControl/>
        <w:kinsoku/>
        <w:wordWrap/>
        <w:overflowPunct/>
        <w:topLinePunct w:val="0"/>
        <w:autoSpaceDE/>
        <w:autoSpaceDN/>
        <w:bidi w:val="0"/>
        <w:adjustRightInd/>
        <w:snapToGrid/>
        <w:spacing w:line="288" w:lineRule="auto"/>
        <w:ind w:firstLine="420" w:firstLineChars="200"/>
        <w:jc w:val="both"/>
        <w:textAlignment w:val="auto"/>
        <w:rPr>
          <w:rFonts w:ascii="宋体" w:hAnsi="宋体" w:cs="宋体"/>
          <w:kern w:val="2"/>
          <w:sz w:val="21"/>
          <w:szCs w:val="21"/>
          <w:highlight w:val="none"/>
        </w:rPr>
      </w:pPr>
      <w:r>
        <w:rPr>
          <w:rFonts w:ascii="宋体" w:hAnsi="宋体" w:cs="宋体"/>
          <w:kern w:val="2"/>
          <w:sz w:val="21"/>
          <w:szCs w:val="21"/>
          <w:highlight w:val="none"/>
        </w:rPr>
        <w:t>用    途：用于水平井、斜井、直井分段压裂</w:t>
      </w:r>
    </w:p>
    <w:p>
      <w:pPr>
        <w:bidi w:val="0"/>
      </w:pPr>
      <w:r>
        <w:t>4  资质要求</w:t>
      </w:r>
    </w:p>
    <w:p>
      <w:pPr>
        <w:pStyle w:val="8"/>
        <w:keepNext w:val="0"/>
        <w:keepLines w:val="0"/>
        <w:pageBreakBefore w:val="0"/>
        <w:widowControl/>
        <w:kinsoku/>
        <w:wordWrap/>
        <w:overflowPunct/>
        <w:topLinePunct w:val="0"/>
        <w:bidi w:val="0"/>
        <w:adjustRightInd/>
        <w:snapToGrid/>
        <w:spacing w:line="288" w:lineRule="auto"/>
        <w:textAlignment w:val="auto"/>
        <w:rPr>
          <w:rFonts w:hint="eastAsia" w:eastAsia="宋体"/>
          <w:lang w:eastAsia="zh-CN"/>
        </w:rPr>
      </w:pPr>
      <w:r>
        <w:rPr>
          <w:rFonts w:hint="eastAsia" w:hAnsi="宋体" w:eastAsia="宋体" w:cs="宋体"/>
          <w:szCs w:val="21"/>
          <w:highlight w:val="none"/>
          <w:lang w:eastAsia="zh-CN"/>
        </w:rPr>
        <w:t>见招标公告</w:t>
      </w:r>
    </w:p>
    <w:p>
      <w:pPr>
        <w:bidi w:val="0"/>
      </w:pPr>
      <w:r>
        <w:t>5  技术要求</w:t>
      </w:r>
    </w:p>
    <w:p>
      <w:pPr>
        <w:keepLines w:val="0"/>
        <w:pageBreakBefore w:val="0"/>
        <w:wordWrap/>
        <w:overflowPunct/>
        <w:topLinePunct w:val="0"/>
        <w:autoSpaceDE/>
        <w:autoSpaceDN/>
        <w:bidi w:val="0"/>
        <w:adjustRightInd/>
        <w:snapToGrid/>
        <w:spacing w:line="288" w:lineRule="auto"/>
        <w:ind w:firstLine="422" w:firstLineChars="200"/>
        <w:jc w:val="both"/>
        <w:rPr>
          <w:rFonts w:ascii="宋体" w:hAnsi="宋体" w:cs="宋体"/>
          <w:b/>
          <w:kern w:val="2"/>
          <w:sz w:val="21"/>
          <w:szCs w:val="21"/>
          <w:highlight w:val="none"/>
        </w:rPr>
      </w:pPr>
      <w:r>
        <w:rPr>
          <w:rFonts w:ascii="宋体" w:hAnsi="宋体" w:cs="宋体"/>
          <w:b/>
          <w:kern w:val="2"/>
          <w:sz w:val="21"/>
          <w:szCs w:val="21"/>
          <w:highlight w:val="none"/>
        </w:rPr>
        <w:t>5.1水力锚技术要求：</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p>
    <w:tbl>
      <w:tblPr>
        <w:tblStyle w:val="7"/>
        <w:tblW w:w="7794" w:type="dxa"/>
        <w:jc w:val="center"/>
        <w:tblInd w:w="0" w:type="dxa"/>
        <w:tblLayout w:type="fixed"/>
        <w:tblCellMar>
          <w:top w:w="0" w:type="dxa"/>
          <w:left w:w="0" w:type="dxa"/>
          <w:bottom w:w="0" w:type="dxa"/>
          <w:right w:w="0" w:type="dxa"/>
        </w:tblCellMar>
      </w:tblPr>
      <w:tblGrid>
        <w:gridCol w:w="1974"/>
        <w:gridCol w:w="5820"/>
      </w:tblGrid>
      <w:tr>
        <w:tblPrEx>
          <w:tblLayout w:type="fixed"/>
          <w:tblCellMar>
            <w:top w:w="0" w:type="dxa"/>
            <w:left w:w="0" w:type="dxa"/>
            <w:bottom w:w="0" w:type="dxa"/>
            <w:right w:w="0" w:type="dxa"/>
          </w:tblCellMar>
        </w:tblPrEx>
        <w:trPr>
          <w:trHeight w:val="420" w:hRule="atLeast"/>
          <w:jc w:val="center"/>
        </w:trPr>
        <w:tc>
          <w:tcPr>
            <w:tcW w:w="19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20" w:firstLineChars="200"/>
              <w:jc w:val="center"/>
              <w:textAlignment w:val="center"/>
              <w:rPr>
                <w:rFonts w:ascii="宋体" w:hAnsi="宋体" w:cs="宋体"/>
                <w:color w:val="000000"/>
                <w:sz w:val="21"/>
                <w:szCs w:val="21"/>
                <w:highlight w:val="none"/>
              </w:rPr>
            </w:pPr>
            <w:r>
              <w:rPr>
                <w:rFonts w:ascii="宋体" w:hAnsi="宋体" w:cs="宋体"/>
                <w:color w:val="000000"/>
                <w:sz w:val="21"/>
                <w:szCs w:val="21"/>
                <w:highlight w:val="none"/>
                <w:lang w:bidi="ar"/>
              </w:rPr>
              <w:t>项     目</w:t>
            </w:r>
          </w:p>
        </w:tc>
        <w:tc>
          <w:tcPr>
            <w:tcW w:w="5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20" w:firstLineChars="200"/>
              <w:jc w:val="center"/>
              <w:textAlignment w:val="center"/>
              <w:rPr>
                <w:rFonts w:ascii="宋体" w:hAnsi="宋体" w:cs="宋体"/>
                <w:color w:val="000000"/>
                <w:sz w:val="21"/>
                <w:szCs w:val="21"/>
                <w:highlight w:val="none"/>
              </w:rPr>
            </w:pPr>
            <w:r>
              <w:rPr>
                <w:rFonts w:ascii="宋体" w:hAnsi="宋体" w:cs="宋体"/>
                <w:color w:val="000000"/>
                <w:sz w:val="21"/>
                <w:szCs w:val="21"/>
                <w:highlight w:val="none"/>
                <w:lang w:bidi="ar"/>
              </w:rPr>
              <w:t>指     标</w:t>
            </w:r>
          </w:p>
        </w:tc>
      </w:tr>
      <w:tr>
        <w:tblPrEx>
          <w:tblLayout w:type="fixed"/>
          <w:tblCellMar>
            <w:top w:w="0" w:type="dxa"/>
            <w:left w:w="0" w:type="dxa"/>
            <w:bottom w:w="0" w:type="dxa"/>
            <w:right w:w="0" w:type="dxa"/>
          </w:tblCellMar>
        </w:tblPrEx>
        <w:trPr>
          <w:trHeight w:val="420" w:hRule="atLeast"/>
          <w:jc w:val="center"/>
        </w:trPr>
        <w:tc>
          <w:tcPr>
            <w:tcW w:w="19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20" w:firstLineChars="200"/>
              <w:jc w:val="center"/>
              <w:textAlignment w:val="center"/>
              <w:rPr>
                <w:rFonts w:hint="default" w:ascii="宋体" w:hAnsi="宋体" w:cs="宋体"/>
                <w:color w:val="000000"/>
                <w:sz w:val="21"/>
                <w:szCs w:val="21"/>
                <w:highlight w:val="none"/>
              </w:rPr>
            </w:pPr>
            <w:r>
              <w:rPr>
                <w:rFonts w:ascii="宋体" w:hAnsi="宋体" w:cs="宋体"/>
                <w:color w:val="000000"/>
                <w:sz w:val="21"/>
                <w:szCs w:val="21"/>
                <w:highlight w:val="none"/>
                <w:lang w:bidi="ar"/>
              </w:rPr>
              <w:t>工作压差及密封性</w:t>
            </w:r>
          </w:p>
        </w:tc>
        <w:tc>
          <w:tcPr>
            <w:tcW w:w="5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20" w:firstLineChars="200"/>
              <w:jc w:val="center"/>
              <w:textAlignment w:val="center"/>
              <w:rPr>
                <w:rFonts w:ascii="宋体" w:hAnsi="宋体" w:cs="宋体"/>
                <w:color w:val="000000"/>
                <w:sz w:val="21"/>
                <w:szCs w:val="21"/>
                <w:highlight w:val="none"/>
              </w:rPr>
            </w:pPr>
            <w:r>
              <w:rPr>
                <w:rFonts w:ascii="宋体" w:hAnsi="宋体" w:cs="宋体"/>
                <w:color w:val="000000"/>
                <w:sz w:val="21"/>
                <w:szCs w:val="21"/>
                <w:highlight w:val="none"/>
                <w:lang w:bidi="ar"/>
              </w:rPr>
              <w:t>压差在70MPa条件下，稳压5分钟，反复10次，无渗漏</w:t>
            </w:r>
          </w:p>
        </w:tc>
      </w:tr>
      <w:tr>
        <w:tblPrEx>
          <w:tblLayout w:type="fixed"/>
          <w:tblCellMar>
            <w:top w:w="0" w:type="dxa"/>
            <w:left w:w="0" w:type="dxa"/>
            <w:bottom w:w="0" w:type="dxa"/>
            <w:right w:w="0" w:type="dxa"/>
          </w:tblCellMar>
        </w:tblPrEx>
        <w:trPr>
          <w:trHeight w:val="420" w:hRule="atLeast"/>
          <w:jc w:val="center"/>
        </w:trPr>
        <w:tc>
          <w:tcPr>
            <w:tcW w:w="19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20" w:firstLineChars="200"/>
              <w:jc w:val="center"/>
              <w:textAlignment w:val="center"/>
              <w:rPr>
                <w:rFonts w:ascii="宋体" w:hAnsi="宋体" w:cs="宋体"/>
                <w:color w:val="000000"/>
                <w:sz w:val="21"/>
                <w:szCs w:val="21"/>
                <w:highlight w:val="none"/>
              </w:rPr>
            </w:pPr>
            <w:r>
              <w:rPr>
                <w:rFonts w:ascii="宋体" w:hAnsi="宋体" w:cs="宋体"/>
                <w:color w:val="000000"/>
                <w:sz w:val="21"/>
                <w:szCs w:val="21"/>
                <w:highlight w:val="none"/>
                <w:lang w:bidi="ar"/>
              </w:rPr>
              <w:t>锚定力</w:t>
            </w:r>
          </w:p>
        </w:tc>
        <w:tc>
          <w:tcPr>
            <w:tcW w:w="5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20" w:firstLineChars="200"/>
              <w:jc w:val="center"/>
              <w:textAlignment w:val="center"/>
              <w:rPr>
                <w:rFonts w:ascii="宋体" w:hAnsi="宋体" w:cs="宋体"/>
                <w:color w:val="000000"/>
                <w:sz w:val="21"/>
                <w:szCs w:val="21"/>
                <w:highlight w:val="none"/>
              </w:rPr>
            </w:pPr>
            <w:r>
              <w:rPr>
                <w:rFonts w:ascii="宋体" w:hAnsi="宋体" w:cs="宋体"/>
                <w:color w:val="000000"/>
                <w:sz w:val="21"/>
                <w:szCs w:val="21"/>
                <w:highlight w:val="none"/>
                <w:lang w:bidi="ar"/>
              </w:rPr>
              <w:t>锚定力≥1287KN，水力锚不允许移动、锚爪无损伤</w:t>
            </w:r>
          </w:p>
        </w:tc>
      </w:tr>
      <w:tr>
        <w:tblPrEx>
          <w:tblLayout w:type="fixed"/>
          <w:tblCellMar>
            <w:top w:w="0" w:type="dxa"/>
            <w:left w:w="0" w:type="dxa"/>
            <w:bottom w:w="0" w:type="dxa"/>
            <w:right w:w="0" w:type="dxa"/>
          </w:tblCellMar>
        </w:tblPrEx>
        <w:trPr>
          <w:trHeight w:val="420" w:hRule="atLeast"/>
          <w:jc w:val="center"/>
        </w:trPr>
        <w:tc>
          <w:tcPr>
            <w:tcW w:w="19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20" w:firstLineChars="200"/>
              <w:jc w:val="center"/>
              <w:textAlignment w:val="center"/>
              <w:rPr>
                <w:rFonts w:ascii="宋体" w:hAnsi="宋体" w:cs="宋体"/>
                <w:color w:val="000000"/>
                <w:sz w:val="21"/>
                <w:szCs w:val="21"/>
                <w:highlight w:val="none"/>
              </w:rPr>
            </w:pPr>
            <w:r>
              <w:rPr>
                <w:rFonts w:ascii="宋体" w:hAnsi="宋体" w:cs="宋体"/>
                <w:color w:val="000000"/>
                <w:sz w:val="21"/>
                <w:szCs w:val="21"/>
                <w:highlight w:val="none"/>
                <w:lang w:bidi="ar"/>
              </w:rPr>
              <w:t>启动压差</w:t>
            </w:r>
          </w:p>
        </w:tc>
        <w:tc>
          <w:tcPr>
            <w:tcW w:w="5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20" w:firstLineChars="200"/>
              <w:jc w:val="center"/>
              <w:textAlignment w:val="center"/>
              <w:rPr>
                <w:rFonts w:ascii="宋体" w:hAnsi="宋体" w:cs="宋体"/>
                <w:color w:val="000000"/>
                <w:sz w:val="21"/>
                <w:szCs w:val="21"/>
                <w:highlight w:val="none"/>
              </w:rPr>
            </w:pPr>
            <w:r>
              <w:rPr>
                <w:rFonts w:ascii="宋体" w:hAnsi="宋体" w:cs="宋体"/>
                <w:color w:val="000000"/>
                <w:sz w:val="21"/>
                <w:szCs w:val="21"/>
                <w:highlight w:val="none"/>
                <w:lang w:bidi="ar"/>
              </w:rPr>
              <w:t>≤2.5MPa</w:t>
            </w:r>
          </w:p>
        </w:tc>
      </w:tr>
      <w:tr>
        <w:tblPrEx>
          <w:tblLayout w:type="fixed"/>
          <w:tblCellMar>
            <w:top w:w="0" w:type="dxa"/>
            <w:left w:w="0" w:type="dxa"/>
            <w:bottom w:w="0" w:type="dxa"/>
            <w:right w:w="0" w:type="dxa"/>
          </w:tblCellMar>
        </w:tblPrEx>
        <w:trPr>
          <w:trHeight w:val="420" w:hRule="atLeast"/>
          <w:jc w:val="center"/>
        </w:trPr>
        <w:tc>
          <w:tcPr>
            <w:tcW w:w="19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40" w:firstLineChars="200"/>
              <w:jc w:val="center"/>
              <w:textAlignment w:val="center"/>
              <w:rPr>
                <w:rFonts w:ascii="宋体" w:hAnsi="宋体" w:cs="宋体"/>
                <w:color w:val="000000"/>
                <w:sz w:val="22"/>
                <w:szCs w:val="22"/>
                <w:highlight w:val="none"/>
              </w:rPr>
            </w:pPr>
            <w:r>
              <w:rPr>
                <w:rFonts w:ascii="宋体" w:hAnsi="宋体" w:cs="宋体"/>
                <w:color w:val="000000"/>
                <w:sz w:val="22"/>
                <w:szCs w:val="22"/>
                <w:highlight w:val="none"/>
                <w:lang w:bidi="ar"/>
              </w:rPr>
              <w:t>锚爪伸缩性</w:t>
            </w:r>
          </w:p>
        </w:tc>
        <w:tc>
          <w:tcPr>
            <w:tcW w:w="58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Lines w:val="0"/>
              <w:pageBreakBefore w:val="0"/>
              <w:widowControl/>
              <w:wordWrap/>
              <w:overflowPunct/>
              <w:topLinePunct w:val="0"/>
              <w:bidi w:val="0"/>
              <w:adjustRightInd/>
              <w:snapToGrid/>
              <w:spacing w:line="288" w:lineRule="auto"/>
              <w:ind w:firstLine="420" w:firstLineChars="200"/>
              <w:jc w:val="center"/>
              <w:textAlignment w:val="center"/>
              <w:rPr>
                <w:rFonts w:ascii="宋体" w:hAnsi="宋体" w:cs="宋体"/>
                <w:color w:val="000000"/>
                <w:sz w:val="21"/>
                <w:szCs w:val="21"/>
                <w:highlight w:val="none"/>
              </w:rPr>
            </w:pPr>
            <w:r>
              <w:rPr>
                <w:rFonts w:ascii="宋体" w:hAnsi="宋体" w:cs="宋体"/>
                <w:color w:val="000000"/>
                <w:sz w:val="21"/>
                <w:szCs w:val="21"/>
                <w:highlight w:val="none"/>
                <w:lang w:bidi="ar"/>
              </w:rPr>
              <w:t>水力锚在泄压后1min内应恢复原状，锚爪牙齿不允许高出锚体</w:t>
            </w:r>
          </w:p>
        </w:tc>
      </w:tr>
    </w:tbl>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p>
    <w:p>
      <w:pPr>
        <w:keepLines w:val="0"/>
        <w:pageBreakBefore w:val="0"/>
        <w:wordWrap/>
        <w:overflowPunct/>
        <w:topLinePunct w:val="0"/>
        <w:autoSpaceDE/>
        <w:autoSpaceDN/>
        <w:bidi w:val="0"/>
        <w:adjustRightInd/>
        <w:snapToGrid/>
        <w:spacing w:line="288" w:lineRule="auto"/>
        <w:ind w:firstLine="422" w:firstLineChars="200"/>
        <w:jc w:val="both"/>
        <w:rPr>
          <w:rFonts w:ascii="宋体" w:hAnsi="宋体" w:cs="宋体"/>
          <w:b/>
          <w:kern w:val="2"/>
          <w:sz w:val="21"/>
          <w:szCs w:val="21"/>
          <w:highlight w:val="none"/>
        </w:rPr>
      </w:pPr>
      <w:r>
        <w:rPr>
          <w:rFonts w:ascii="宋体" w:hAnsi="宋体" w:cs="宋体"/>
          <w:b/>
          <w:kern w:val="2"/>
          <w:sz w:val="21"/>
          <w:szCs w:val="21"/>
          <w:highlight w:val="none"/>
        </w:rPr>
        <w:t>5.2材质、加工及组装要求：</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5.2.1 材料要求</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5.2.1.1水力锚使用的钢材应符合 GB/T 699，GB/T 3077，GB/T 1220和GB/T 1222的规定。</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5.2.1.2生产水力锚用的管材应符合GB/T 8162规定。</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5.2.1.3密封圈的材料应符合HG/T 2701的规定。</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5.2.2 加工要求</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5.2.2.1 锻件应符合SY/T 5676的规定。</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5.2.2.2 油管螺纹应符合GB/T 9253.2的规定。</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5.2.2.3 锚爪牙齿表面硬度HRC55-HRC62，硬化层厚度0.8mm-1.0mm。</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5.2.3 组装要求</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5.2.3.1 组装水力锚的零件，应是检验合格的零件。</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5.2.3.2 组装水力锚不得使用超过有效期和用过的密封圈。</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5.2.3.3 组装前应清除毛刺、铁屑和赃物，连接螺纹应涂密封脂。</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5.2.3.4 装锚牙时应在密封面涂润滑油，密封圈不得有拧扭、切伤现象。</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5.2.3.5 水力锚组装后，锚爪、扶正块应无卡阻现象。</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5.2.3.6 锚牙组装后不得高出钢体。</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5.2.3.7 端部螺纹应戴护丝。</w:t>
      </w:r>
    </w:p>
    <w:p>
      <w:pPr>
        <w:keepLines w:val="0"/>
        <w:pageBreakBefore w:val="0"/>
        <w:wordWrap/>
        <w:overflowPunct/>
        <w:topLinePunct w:val="0"/>
        <w:autoSpaceDE/>
        <w:autoSpaceDN/>
        <w:bidi w:val="0"/>
        <w:adjustRightInd/>
        <w:snapToGrid/>
        <w:spacing w:line="288" w:lineRule="auto"/>
        <w:ind w:firstLine="422" w:firstLineChars="200"/>
        <w:jc w:val="both"/>
        <w:rPr>
          <w:rFonts w:ascii="宋体" w:hAnsi="宋体" w:cs="宋体"/>
          <w:b/>
          <w:kern w:val="2"/>
          <w:sz w:val="21"/>
          <w:szCs w:val="21"/>
          <w:highlight w:val="none"/>
        </w:rPr>
      </w:pPr>
      <w:r>
        <w:rPr>
          <w:rFonts w:ascii="宋体" w:hAnsi="宋体" w:cs="宋体"/>
          <w:b/>
          <w:kern w:val="2"/>
          <w:sz w:val="21"/>
          <w:szCs w:val="21"/>
          <w:highlight w:val="none"/>
        </w:rPr>
        <w:t>5.3 性能要求：</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5.3.1水力锚能够满足设计承压70MPa要求；</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5.3.2 水力锚适用温度：-35℃—120℃；</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5.3.3 适应井深：满足3000m井深；</w:t>
      </w:r>
    </w:p>
    <w:p>
      <w:pPr>
        <w:keepLines w:val="0"/>
        <w:pageBreakBefore w:val="0"/>
        <w:wordWrap/>
        <w:overflowPunct/>
        <w:topLinePunct w:val="0"/>
        <w:autoSpaceDE/>
        <w:autoSpaceDN/>
        <w:bidi w:val="0"/>
        <w:adjustRightInd/>
        <w:snapToGrid/>
        <w:spacing w:line="288" w:lineRule="auto"/>
        <w:ind w:firstLine="420" w:firstLineChars="200"/>
        <w:jc w:val="both"/>
        <w:rPr>
          <w:rFonts w:hint="default" w:ascii="宋体" w:hAnsi="宋体" w:cs="宋体"/>
          <w:kern w:val="2"/>
          <w:sz w:val="21"/>
          <w:szCs w:val="21"/>
          <w:highlight w:val="none"/>
        </w:rPr>
      </w:pPr>
      <w:r>
        <w:rPr>
          <w:rFonts w:ascii="宋体" w:hAnsi="宋体" w:cs="宋体"/>
          <w:kern w:val="2"/>
          <w:sz w:val="21"/>
          <w:szCs w:val="21"/>
          <w:highlight w:val="none"/>
        </w:rPr>
        <w:t>5.3.4工作介质：压裂液、压裂支撑剂、油、水或由其组成的混合物。</w:t>
      </w:r>
    </w:p>
    <w:p>
      <w:pPr>
        <w:keepLines w:val="0"/>
        <w:pageBreakBefore w:val="0"/>
        <w:wordWrap/>
        <w:overflowPunct/>
        <w:topLinePunct w:val="0"/>
        <w:autoSpaceDE/>
        <w:autoSpaceDN/>
        <w:bidi w:val="0"/>
        <w:adjustRightInd/>
        <w:snapToGrid/>
        <w:spacing w:line="288" w:lineRule="auto"/>
        <w:ind w:firstLine="420" w:firstLineChars="200"/>
        <w:jc w:val="both"/>
        <w:rPr>
          <w:rFonts w:hint="default" w:ascii="宋体" w:hAnsi="宋体" w:cs="宋体"/>
          <w:kern w:val="2"/>
          <w:sz w:val="21"/>
          <w:szCs w:val="21"/>
          <w:highlight w:val="none"/>
        </w:rPr>
      </w:pPr>
      <w:r>
        <w:rPr>
          <w:rFonts w:ascii="宋体" w:hAnsi="宋体" w:cs="宋体"/>
          <w:kern w:val="2"/>
          <w:sz w:val="21"/>
          <w:szCs w:val="21"/>
          <w:highlight w:val="none"/>
        </w:rPr>
        <w:t>5.3.5水力锚在完成压裂施工后，工具整体不能有结构性损坏。</w:t>
      </w:r>
    </w:p>
    <w:p>
      <w:pPr>
        <w:keepNext w:val="0"/>
        <w:keepLines w:val="0"/>
        <w:pageBreakBefore w:val="0"/>
        <w:widowControl/>
        <w:kinsoku/>
        <w:wordWrap/>
        <w:overflowPunct/>
        <w:topLinePunct w:val="0"/>
        <w:autoSpaceDE/>
        <w:autoSpaceDN/>
        <w:bidi w:val="0"/>
        <w:adjustRightInd/>
        <w:snapToGrid/>
        <w:ind w:firstLine="440" w:firstLineChars="200"/>
        <w:textAlignment w:val="auto"/>
        <w:outlineLvl w:val="9"/>
      </w:pPr>
      <w:bookmarkStart w:id="37" w:name="_GoBack"/>
      <w:bookmarkEnd w:id="37"/>
      <w:r>
        <w:t>5.4 其它要求</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 xml:space="preserve">5.4.1水力锚应具有出厂标识，标明型号、配有产品说明书、合格证（供货时提供）； </w:t>
      </w:r>
    </w:p>
    <w:p>
      <w:pPr>
        <w:keepLines w:val="0"/>
        <w:pageBreakBefore w:val="0"/>
        <w:wordWrap/>
        <w:overflowPunct/>
        <w:topLinePunct w:val="0"/>
        <w:autoSpaceDE/>
        <w:autoSpaceDN/>
        <w:bidi w:val="0"/>
        <w:adjustRightInd/>
        <w:snapToGrid/>
        <w:spacing w:line="288" w:lineRule="auto"/>
        <w:ind w:firstLine="420" w:firstLineChars="200"/>
        <w:jc w:val="both"/>
        <w:rPr>
          <w:rFonts w:hint="default" w:ascii="宋体"/>
          <w:kern w:val="2"/>
          <w:sz w:val="21"/>
          <w:highlight w:val="none"/>
        </w:rPr>
      </w:pPr>
      <w:r>
        <w:rPr>
          <w:rFonts w:ascii="宋体" w:hAnsi="宋体" w:cs="宋体"/>
          <w:kern w:val="2"/>
          <w:sz w:val="21"/>
          <w:szCs w:val="21"/>
          <w:highlight w:val="none"/>
        </w:rPr>
        <w:t>5.4.2产品厂家指派技术服务人员负责现场技术指导，</w:t>
      </w:r>
      <w:r>
        <w:rPr>
          <w:rFonts w:ascii="宋体" w:hAnsi="宋体"/>
          <w:kern w:val="2"/>
          <w:sz w:val="21"/>
          <w:highlight w:val="none"/>
        </w:rPr>
        <w:t>并处理由工具、管柱引起的应急情况（承诺）。</w:t>
      </w:r>
    </w:p>
    <w:p>
      <w:pPr>
        <w:keepLines w:val="0"/>
        <w:pageBreakBefore w:val="0"/>
        <w:wordWrap/>
        <w:overflowPunct/>
        <w:topLinePunct w:val="0"/>
        <w:autoSpaceDE/>
        <w:autoSpaceDN/>
        <w:bidi w:val="0"/>
        <w:adjustRightInd/>
        <w:snapToGrid/>
        <w:spacing w:line="288" w:lineRule="auto"/>
        <w:ind w:firstLine="420" w:firstLineChars="200"/>
        <w:jc w:val="both"/>
        <w:rPr>
          <w:rFonts w:ascii="宋体" w:hAnsi="宋体" w:cs="宋体"/>
          <w:kern w:val="2"/>
          <w:sz w:val="21"/>
          <w:szCs w:val="21"/>
          <w:highlight w:val="none"/>
        </w:rPr>
      </w:pPr>
      <w:r>
        <w:rPr>
          <w:rFonts w:ascii="宋体" w:hAnsi="宋体" w:cs="宋体"/>
          <w:kern w:val="2"/>
          <w:sz w:val="21"/>
          <w:szCs w:val="21"/>
          <w:highlight w:val="none"/>
        </w:rPr>
        <w:t>5.4.3根据甲方施工合同要求供货，接到甲方通知20天内到达施工现场（承诺）。</w:t>
      </w:r>
    </w:p>
    <w:p>
      <w:pPr>
        <w:pStyle w:val="2"/>
        <w:keepNext/>
        <w:keepLines w:val="0"/>
        <w:pageBreakBefore w:val="0"/>
        <w:widowControl w:val="0"/>
        <w:kinsoku/>
        <w:wordWrap/>
        <w:overflowPunct/>
        <w:topLinePunct w:val="0"/>
        <w:autoSpaceDE/>
        <w:autoSpaceDN/>
        <w:bidi w:val="0"/>
        <w:adjustRightInd/>
        <w:snapToGrid/>
        <w:spacing w:line="288" w:lineRule="auto"/>
        <w:ind w:firstLine="0" w:firstLineChars="0"/>
        <w:textAlignment w:val="auto"/>
        <w:outlineLvl w:val="2"/>
        <w:rPr>
          <w:rFonts w:hint="eastAsia" w:ascii="黑体" w:hAnsi="宋体" w:eastAsia="黑体"/>
          <w:bCs/>
          <w:kern w:val="2"/>
          <w:sz w:val="28"/>
          <w:szCs w:val="28"/>
          <w:lang w:val="en-US" w:eastAsia="zh-CN"/>
        </w:rPr>
      </w:pPr>
      <w:r>
        <w:rPr>
          <w:rFonts w:hint="eastAsia" w:ascii="黑体" w:hAnsi="宋体" w:eastAsia="黑体"/>
          <w:bCs/>
          <w:kern w:val="2"/>
          <w:sz w:val="28"/>
          <w:szCs w:val="28"/>
          <w:lang w:val="en-US" w:eastAsia="zh-CN"/>
        </w:rPr>
        <w:br w:type="page"/>
      </w:r>
      <w:bookmarkStart w:id="35" w:name="_Toc21564"/>
      <w:r>
        <w:rPr>
          <w:rFonts w:hint="eastAsia" w:ascii="黑体" w:hAnsi="宋体" w:eastAsia="黑体"/>
          <w:bCs/>
          <w:kern w:val="2"/>
          <w:sz w:val="28"/>
          <w:szCs w:val="28"/>
          <w:lang w:val="en-US" w:eastAsia="zh-CN"/>
        </w:rPr>
        <w:t>附件3：《中国石油天然气集团有限公司投标人失信行为管理办法（试行）》</w:t>
      </w:r>
      <w:bookmarkEnd w:id="35"/>
    </w:p>
    <w:p>
      <w:pPr>
        <w:spacing w:line="288" w:lineRule="auto"/>
        <w:outlineLvl w:val="2"/>
        <w:rPr>
          <w:rFonts w:hint="eastAsia"/>
        </w:rPr>
      </w:pPr>
      <w:bookmarkStart w:id="36" w:name="_Toc24983"/>
      <w:r>
        <w:rPr>
          <w:rFonts w:hint="eastAsia" w:ascii="黑体" w:hAnsi="宋体" w:eastAsia="黑体"/>
          <w:bCs/>
          <w:kern w:val="2"/>
          <w:sz w:val="28"/>
          <w:szCs w:val="28"/>
        </w:rPr>
        <w:t>附件</w:t>
      </w:r>
      <w:r>
        <w:rPr>
          <w:rFonts w:hint="eastAsia" w:ascii="黑体" w:hAnsi="宋体" w:eastAsia="黑体"/>
          <w:bCs/>
          <w:kern w:val="2"/>
          <w:sz w:val="28"/>
          <w:szCs w:val="28"/>
          <w:lang w:val="en-US" w:eastAsia="zh-CN"/>
        </w:rPr>
        <w:t>4</w:t>
      </w:r>
      <w:r>
        <w:rPr>
          <w:rFonts w:hint="eastAsia" w:ascii="黑体" w:hAnsi="宋体" w:eastAsia="黑体"/>
          <w:bCs/>
          <w:kern w:val="2"/>
          <w:sz w:val="28"/>
          <w:szCs w:val="28"/>
        </w:rPr>
        <w:t>：投标保证金递交流程</w:t>
      </w:r>
      <w:bookmarkEnd w:id="34"/>
      <w:bookmarkEnd w:id="36"/>
    </w:p>
    <w:p>
      <w:pPr>
        <w:overflowPunct w:val="0"/>
        <w:spacing w:line="288" w:lineRule="auto"/>
        <w:ind w:firstLine="220" w:firstLineChars="100"/>
        <w:rPr>
          <w:rFonts w:hint="eastAsia" w:hAnsi="宋体"/>
        </w:rPr>
      </w:pPr>
    </w:p>
    <w:p>
      <w:pPr>
        <w:spacing w:line="288" w:lineRule="auto"/>
        <w:jc w:val="center"/>
        <w:rPr>
          <w:rFonts w:hint="eastAsia" w:ascii="宋体" w:hAnsi="宋体" w:cs="宋体"/>
          <w:b/>
          <w:sz w:val="21"/>
          <w:szCs w:val="21"/>
        </w:rPr>
      </w:pPr>
      <w:r>
        <w:rPr>
          <w:rFonts w:hint="eastAsia" w:ascii="宋体" w:hAnsi="宋体" w:cs="宋体"/>
          <w:b/>
          <w:sz w:val="21"/>
          <w:szCs w:val="21"/>
        </w:rPr>
        <w:t>投标保证金递交流程</w:t>
      </w:r>
    </w:p>
    <w:p>
      <w:pPr>
        <w:spacing w:line="288" w:lineRule="auto"/>
        <w:jc w:val="center"/>
        <w:rPr>
          <w:rFonts w:hint="eastAsia" w:ascii="宋体" w:hAnsi="宋体" w:cs="宋体"/>
          <w:b/>
          <w:sz w:val="21"/>
          <w:szCs w:val="21"/>
        </w:rPr>
      </w:pPr>
    </w:p>
    <w:p>
      <w:pPr>
        <w:spacing w:line="288" w:lineRule="auto"/>
        <w:rPr>
          <w:rFonts w:hint="eastAsia" w:ascii="宋体" w:hAnsi="宋体" w:cs="宋体"/>
          <w:color w:val="000000"/>
          <w:sz w:val="21"/>
          <w:szCs w:val="21"/>
        </w:rPr>
      </w:pPr>
      <w:r>
        <w:rPr>
          <w:rFonts w:hint="eastAsia" w:ascii="宋体" w:hAnsi="宋体" w:cs="宋体"/>
          <w:sz w:val="21"/>
          <w:szCs w:val="21"/>
        </w:rPr>
        <w:t>1、</w:t>
      </w:r>
      <w:r>
        <w:rPr>
          <w:rFonts w:hint="eastAsia" w:ascii="宋体" w:hAnsi="宋体" w:cs="宋体"/>
          <w:color w:val="000000"/>
          <w:sz w:val="21"/>
          <w:szCs w:val="21"/>
        </w:rPr>
        <w:t>从投标人基本帐户通过企业网银支付或电汇形式向昆仑银行电子招投标保证金账户汇出；</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开 户 行：昆仑银行股份有限公司大庆分行营业部</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账 户 名：昆仑银行电子招投标保证金</w:t>
      </w:r>
    </w:p>
    <w:p>
      <w:pPr>
        <w:spacing w:line="288" w:lineRule="auto"/>
        <w:ind w:left="200"/>
        <w:rPr>
          <w:rFonts w:hint="eastAsia" w:ascii="宋体" w:hAnsi="宋体" w:cs="宋体"/>
          <w:b/>
          <w:color w:val="990000"/>
          <w:sz w:val="21"/>
          <w:szCs w:val="21"/>
          <w:lang w:val="zh-CN"/>
        </w:rPr>
      </w:pPr>
      <w:r>
        <w:rPr>
          <w:rFonts w:hint="eastAsia" w:ascii="宋体" w:hAnsi="宋体" w:cs="宋体"/>
          <w:b/>
          <w:color w:val="990000"/>
          <w:sz w:val="21"/>
          <w:szCs w:val="21"/>
          <w:lang w:val="zh-CN"/>
        </w:rPr>
        <w:t>银行账号：26902100171850000010</w:t>
      </w:r>
    </w:p>
    <w:p>
      <w:pPr>
        <w:spacing w:line="288" w:lineRule="auto"/>
        <w:ind w:firstLine="211" w:firstLineChars="100"/>
        <w:rPr>
          <w:rFonts w:hint="eastAsia" w:ascii="宋体" w:hAnsi="宋体" w:cs="宋体"/>
          <w:b/>
          <w:color w:val="990000"/>
          <w:sz w:val="21"/>
          <w:szCs w:val="21"/>
          <w:lang w:val="zh-CN"/>
        </w:rPr>
      </w:pPr>
      <w:r>
        <w:rPr>
          <w:rFonts w:hint="eastAsia" w:ascii="宋体" w:hAnsi="宋体" w:cs="宋体"/>
          <w:b/>
          <w:color w:val="990000"/>
          <w:sz w:val="21"/>
          <w:szCs w:val="21"/>
          <w:lang w:val="zh-CN"/>
        </w:rPr>
        <w:t>昆仑银行客服电话：4006696569</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2、查询汇款是否到账（到保证金钱包账户）</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（1）、点击进入已报名项目主控台</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4384" behindDoc="0" locked="0" layoutInCell="1" allowOverlap="1">
                <wp:simplePos x="0" y="0"/>
                <wp:positionH relativeFrom="column">
                  <wp:posOffset>15240</wp:posOffset>
                </wp:positionH>
                <wp:positionV relativeFrom="paragraph">
                  <wp:posOffset>9525</wp:posOffset>
                </wp:positionV>
                <wp:extent cx="497840" cy="354965"/>
                <wp:effectExtent l="12700" t="12700" r="22860" b="13335"/>
                <wp:wrapNone/>
                <wp:docPr id="1" name="椭圆 1"/>
                <wp:cNvGraphicFramePr/>
                <a:graphic xmlns:a="http://schemas.openxmlformats.org/drawingml/2006/main">
                  <a:graphicData uri="http://schemas.microsoft.com/office/word/2010/wordprocessingShape">
                    <wps:wsp>
                      <wps:cNvSpPr/>
                      <wps:spPr>
                        <a:xfrm>
                          <a:off x="0" y="0"/>
                          <a:ext cx="49784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2pt;margin-top:0.75pt;height:27.95pt;width:39.2pt;z-index:251664384;v-text-anchor:middle;mso-width-relative:page;mso-height-relative:page;" filled="f" stroked="t" coordsize="21600,21600" o:gfxdata="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ccVyTTAAAABQEAAA8A&#10;AAAAAAAAAQAgAAAAIgAAAGRycy9kb3ducmV2LnhtbFBLAQIUABQAAAAIAIdO4kC7nM8x4wEAAK0D&#10;AAAOAAAAAAAAAAEAIAAAACIBAABkcnMvZTJvRG9jLnhtbFBLBQYAAAAABgAGAFkBAAB3BQAAAAA=&#10;">
                <v:path/>
                <v:fill on="f" focussize="0,0"/>
                <v:stroke weight="2pt" color="#FF0000"/>
                <v:imagedata o:title=""/>
                <o:lock v:ext="edit"/>
              </v:shape>
            </w:pict>
          </mc:Fallback>
        </mc:AlternateContent>
      </w:r>
      <w:r>
        <w:rPr>
          <w:rFonts w:hint="eastAsia" w:ascii="宋体" w:hAnsi="宋体" w:cs="宋体"/>
          <w:sz w:val="21"/>
          <w:szCs w:val="21"/>
        </w:rPr>
        <w:drawing>
          <wp:inline distT="0" distB="0" distL="114300" distR="114300">
            <wp:extent cx="4297680" cy="304800"/>
            <wp:effectExtent l="0" t="0" r="7620" b="0"/>
            <wp:docPr id="3" name="图片 1" descr="说明: C:\Users\abc\AppData\Roaming\Tencent\Users\42054949\QQ\WinTemp\RichOle\HPR}P)YYPQH$3%{KEZ[)3X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说明: C:\Users\abc\AppData\Roaming\Tencent\Users\42054949\QQ\WinTemp\RichOle\HPR}P)YYPQH$3%{KEZ[)3X8.png"/>
                    <pic:cNvPicPr>
                      <a:picLocks noChangeAspect="1"/>
                    </pic:cNvPicPr>
                  </pic:nvPicPr>
                  <pic:blipFill>
                    <a:blip r:embed="rId5"/>
                    <a:srcRect r="27866"/>
                    <a:stretch>
                      <a:fillRect/>
                    </a:stretch>
                  </pic:blipFill>
                  <pic:spPr>
                    <a:xfrm>
                      <a:off x="0" y="0"/>
                      <a:ext cx="4297680" cy="304800"/>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（2）、点击进入递交投标保证金</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5408" behindDoc="0" locked="0" layoutInCell="1" allowOverlap="1">
                <wp:simplePos x="0" y="0"/>
                <wp:positionH relativeFrom="column">
                  <wp:posOffset>4582160</wp:posOffset>
                </wp:positionH>
                <wp:positionV relativeFrom="paragraph">
                  <wp:posOffset>610235</wp:posOffset>
                </wp:positionV>
                <wp:extent cx="695960" cy="354965"/>
                <wp:effectExtent l="12700" t="12700" r="15240" b="13335"/>
                <wp:wrapNone/>
                <wp:docPr id="4" name="椭圆 4"/>
                <wp:cNvGraphicFramePr/>
                <a:graphic xmlns:a="http://schemas.openxmlformats.org/drawingml/2006/main">
                  <a:graphicData uri="http://schemas.microsoft.com/office/word/2010/wordprocessingShape">
                    <wps:wsp>
                      <wps:cNvSpPr/>
                      <wps:spPr>
                        <a:xfrm>
                          <a:off x="0" y="0"/>
                          <a:ext cx="69596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360.8pt;margin-top:48.05pt;height:27.95pt;width:54.8pt;z-index:251665408;v-text-anchor:middle;mso-width-relative:page;mso-height-relative:page;" filled="f" stroked="t" coordsize="21600,21600" o:gfxdata="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UafNzXAAAACgEA&#10;AA8AAAAAAAAAAQAgAAAAIgAAAGRycy9kb3ducmV2LnhtbFBLAQIUABQAAAAIAIdO4kBHyBQ44gEA&#10;AK0DAAAOAAAAAAAAAAEAIAAAACYBAABkcnMvZTJvRG9jLnhtbFBLBQYAAAAABgAGAFkBAAB6BQAA&#10;AAA=&#10;">
                <v:path/>
                <v:fill on="f" focussize="0,0"/>
                <v:stroke weight="2pt" color="#FF0000"/>
                <v:imagedata o:title=""/>
                <o:lock v:ext="edit"/>
              </v:shape>
            </w:pict>
          </mc:Fallback>
        </mc:AlternateContent>
      </w:r>
      <w:r>
        <w:rPr>
          <w:rFonts w:hint="eastAsia" w:ascii="宋体" w:hAnsi="宋体" w:cs="宋体"/>
          <w:sz w:val="21"/>
          <w:szCs w:val="21"/>
        </w:rPr>
        <w:drawing>
          <wp:inline distT="0" distB="0" distL="114300" distR="114300">
            <wp:extent cx="5325745" cy="1059815"/>
            <wp:effectExtent l="0" t="0" r="8255" b="6985"/>
            <wp:docPr id="6" name="图片 2" descr="说明: C:\Users\abc\AppData\Roaming\Tencent\Users\42054949\QQ\WinTemp\RichOle\U3QC4~N`3O}B54}T%5NKX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说明: C:\Users\abc\AppData\Roaming\Tencent\Users\42054949\QQ\WinTemp\RichOle\U3QC4~N`3O}B54}T%5NKXY2.png"/>
                    <pic:cNvPicPr>
                      <a:picLocks noChangeAspect="1"/>
                    </pic:cNvPicPr>
                  </pic:nvPicPr>
                  <pic:blipFill>
                    <a:blip r:embed="rId6"/>
                    <a:stretch>
                      <a:fillRect/>
                    </a:stretch>
                  </pic:blipFill>
                  <pic:spPr>
                    <a:xfrm>
                      <a:off x="0" y="0"/>
                      <a:ext cx="5325745" cy="1059815"/>
                    </a:xfrm>
                    <a:prstGeom prst="rect">
                      <a:avLst/>
                    </a:prstGeom>
                    <a:noFill/>
                    <a:ln>
                      <a:noFill/>
                    </a:ln>
                  </pic:spPr>
                </pic:pic>
              </a:graphicData>
            </a:graphic>
          </wp:inline>
        </w:drawing>
      </w:r>
    </w:p>
    <w:p>
      <w:pPr>
        <w:spacing w:line="288" w:lineRule="auto"/>
        <w:rPr>
          <w:rFonts w:hint="eastAsia" w:ascii="宋体" w:hAnsi="宋体" w:cs="宋体"/>
          <w:sz w:val="21"/>
          <w:szCs w:val="21"/>
        </w:rPr>
      </w:pPr>
      <w:r>
        <w:rPr>
          <w:rFonts w:hint="eastAsia" w:ascii="宋体" w:hAnsi="宋体" w:cs="宋体"/>
          <w:sz w:val="21"/>
          <w:szCs w:val="21"/>
        </w:rPr>
        <w:t>（3）、查看到账金额（</w:t>
      </w:r>
      <w:r>
        <w:rPr>
          <w:rFonts w:hint="eastAsia" w:ascii="宋体" w:hAnsi="宋体" w:cs="宋体"/>
          <w:color w:val="000000"/>
          <w:sz w:val="21"/>
          <w:szCs w:val="21"/>
        </w:rPr>
        <w:t>保证金钱包账户余额</w:t>
      </w:r>
      <w:r>
        <w:rPr>
          <w:rFonts w:hint="eastAsia" w:ascii="宋体" w:hAnsi="宋体" w:cs="宋体"/>
          <w:sz w:val="21"/>
          <w:szCs w:val="21"/>
        </w:rPr>
        <w:t>）</w:t>
      </w:r>
    </w:p>
    <w:p>
      <w:pPr>
        <w:spacing w:line="288" w:lineRule="auto"/>
        <w:rPr>
          <w:rFonts w:hint="eastAsia" w:ascii="宋体" w:hAnsi="宋体" w:cs="宋体"/>
          <w:sz w:val="21"/>
          <w:szCs w:val="21"/>
        </w:rPr>
      </w:pPr>
      <w:r>
        <w:rPr>
          <w:rFonts w:hint="eastAsia" w:ascii="宋体" w:hAnsi="宋体" w:cs="宋体"/>
          <w:sz w:val="21"/>
          <w:szCs w:val="21"/>
        </w:rPr>
        <mc:AlternateContent>
          <mc:Choice Requires="wps">
            <w:drawing>
              <wp:anchor distT="0" distB="0" distL="114300" distR="114300" simplePos="0" relativeHeight="251666432" behindDoc="0" locked="0" layoutInCell="1" allowOverlap="1">
                <wp:simplePos x="0" y="0"/>
                <wp:positionH relativeFrom="column">
                  <wp:posOffset>167005</wp:posOffset>
                </wp:positionH>
                <wp:positionV relativeFrom="paragraph">
                  <wp:posOffset>240030</wp:posOffset>
                </wp:positionV>
                <wp:extent cx="1057910" cy="354965"/>
                <wp:effectExtent l="12700" t="12700" r="15240" b="13335"/>
                <wp:wrapNone/>
                <wp:docPr id="5" name="椭圆 5"/>
                <wp:cNvGraphicFramePr/>
                <a:graphic xmlns:a="http://schemas.openxmlformats.org/drawingml/2006/main">
                  <a:graphicData uri="http://schemas.microsoft.com/office/word/2010/wordprocessingShape">
                    <wps:wsp>
                      <wps:cNvSpPr/>
                      <wps:spPr>
                        <a:xfrm>
                          <a:off x="0" y="0"/>
                          <a:ext cx="1057910" cy="354965"/>
                        </a:xfrm>
                        <a:prstGeom prst="ellipse">
                          <a:avLst/>
                        </a:prstGeom>
                        <a:noFill/>
                        <a:ln w="25400" cap="flat" cmpd="sng">
                          <a:solidFill>
                            <a:srgbClr val="FF0000"/>
                          </a:solidFill>
                          <a:prstDash val="solid"/>
                          <a:headEnd type="none" w="med" len="med"/>
                          <a:tailEnd type="none" w="med" len="med"/>
                        </a:ln>
                      </wps:spPr>
                      <wps:bodyPr anchor="ctr" upright="1"/>
                    </wps:wsp>
                  </a:graphicData>
                </a:graphic>
              </wp:anchor>
            </w:drawing>
          </mc:Choice>
          <mc:Fallback>
            <w:pict>
              <v:shape id="_x0000_s1026" o:spid="_x0000_s1026" o:spt="3" type="#_x0000_t3" style="position:absolute;left:0pt;margin-left:13.15pt;margin-top:18.9pt;height:27.95pt;width:83.3pt;z-index:251666432;v-text-anchor:middle;mso-width-relative:page;mso-height-relative:page;" filled="f" stroked="t" coordsize="21600,21600" o:gfxdata="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I37NLXAAAA&#10;CAEAAA8AAAAAAAAAAQAgAAAAIgAAAGRycy9kb3ducmV2LnhtbFBLAQIUABQAAAAIAIdO4kCn04P5&#10;5QEAAK4DAAAOAAAAAAAAAAEAIAAAACYBAABkcnMvZTJvRG9jLnhtbFBLBQYAAAAABgAGAFkBAAB9&#10;BQAAAAA=&#10;">
                <v:path/>
                <v:fill on="f" focussize="0,0"/>
                <v:stroke weight="2pt" color="#FF0000"/>
                <v:imagedata o:title=""/>
                <o:lock v:ext="edit"/>
              </v:shape>
            </w:pict>
          </mc:Fallback>
        </mc:AlternateContent>
      </w:r>
      <w:r>
        <w:rPr>
          <w:rFonts w:hint="eastAsia" w:ascii="宋体" w:hAnsi="宋体" w:cs="宋体"/>
          <w:sz w:val="21"/>
          <w:szCs w:val="21"/>
        </w:rPr>
        <w:drawing>
          <wp:inline distT="0" distB="0" distL="114300" distR="114300">
            <wp:extent cx="5265420" cy="1074420"/>
            <wp:effectExtent l="0" t="0" r="11430" b="11430"/>
            <wp:docPr id="2" name="图片 3"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说明: C:\Users\abc\AppData\Roaming\Tencent\Users\42054949\QQ\WinTemp\RichOle\PI$9P51%_3)$`]FJTC])1M3.png"/>
                    <pic:cNvPicPr>
                      <a:picLocks noChangeAspect="1"/>
                    </pic:cNvPicPr>
                  </pic:nvPicPr>
                  <pic:blipFill>
                    <a:blip r:embed="rId7"/>
                    <a:srcRect t="-2" r="43517" b="41075"/>
                    <a:stretch>
                      <a:fillRect/>
                    </a:stretch>
                  </pic:blipFill>
                  <pic:spPr>
                    <a:xfrm>
                      <a:off x="0" y="0"/>
                      <a:ext cx="5265420" cy="1074420"/>
                    </a:xfrm>
                    <a:prstGeom prst="rect">
                      <a:avLst/>
                    </a:prstGeom>
                    <a:noFill/>
                    <a:ln>
                      <a:noFill/>
                    </a:ln>
                  </pic:spPr>
                </pic:pic>
              </a:graphicData>
            </a:graphic>
          </wp:inline>
        </w:drawing>
      </w:r>
    </w:p>
    <w:p>
      <w:pPr>
        <w:spacing w:line="288" w:lineRule="auto"/>
        <w:rPr>
          <w:rFonts w:hint="eastAsia" w:ascii="宋体" w:hAnsi="宋体" w:cs="宋体"/>
          <w:color w:val="000000"/>
          <w:sz w:val="21"/>
          <w:szCs w:val="21"/>
        </w:rPr>
      </w:pPr>
      <w:r>
        <w:rPr>
          <w:rFonts w:hint="eastAsia" w:ascii="宋体" w:hAnsi="宋体" w:cs="宋体"/>
          <w:color w:val="000000"/>
          <w:sz w:val="21"/>
          <w:szCs w:val="21"/>
        </w:rPr>
        <w:t>3、提交投标保证金</w:t>
      </w:r>
    </w:p>
    <w:p>
      <w:pPr>
        <w:spacing w:line="288" w:lineRule="auto"/>
        <w:rPr>
          <w:rFonts w:hint="eastAsia" w:ascii="宋体" w:hAnsi="宋体" w:cs="宋体"/>
          <w:color w:val="000000"/>
          <w:sz w:val="21"/>
          <w:szCs w:val="21"/>
        </w:rPr>
      </w:pPr>
      <w:r>
        <w:rPr>
          <w:rFonts w:hint="eastAsia" w:ascii="宋体" w:hAnsi="宋体" w:cs="宋体"/>
          <w:color w:val="000000"/>
          <w:sz w:val="21"/>
          <w:szCs w:val="21"/>
        </w:rPr>
        <w:t>（1）选择项目</w:t>
      </w:r>
    </w:p>
    <w:p>
      <w:pPr>
        <w:spacing w:line="288" w:lineRule="auto"/>
        <w:rPr>
          <w:rFonts w:hint="eastAsia" w:ascii="宋体" w:hAnsi="宋体" w:cs="宋体"/>
          <w:color w:val="000000"/>
          <w:sz w:val="21"/>
          <w:szCs w:val="21"/>
        </w:rPr>
      </w:pPr>
      <w:r>
        <w:rPr>
          <w:rFonts w:hint="eastAsia" w:ascii="宋体" w:hAnsi="宋体" w:cs="宋体"/>
          <w:color w:val="000000"/>
          <w:sz w:val="21"/>
          <w:szCs w:val="21"/>
        </w:rPr>
        <w:t>（2）、支付</w:t>
      </w:r>
    </w:p>
    <w:p>
      <w:pPr>
        <w:spacing w:line="288" w:lineRule="auto"/>
        <w:rPr>
          <w:rFonts w:hint="eastAsia" w:ascii="宋体" w:hAnsi="宋体" w:cs="宋体"/>
          <w:color w:val="000000"/>
          <w:sz w:val="21"/>
          <w:szCs w:val="21"/>
        </w:rPr>
      </w:pPr>
      <w:r>
        <w:rPr>
          <w:rFonts w:hint="eastAsia" w:ascii="宋体" w:hAnsi="宋体" w:cs="宋体"/>
          <w:color w:val="000000"/>
          <w:sz w:val="21"/>
          <w:szCs w:val="21"/>
        </w:rPr>
        <w:t>（3）、刷新，查询购买状态</w:t>
      </w:r>
    </w:p>
    <w:p>
      <w:pPr>
        <w:spacing w:line="288" w:lineRule="auto"/>
        <w:rPr>
          <w:color w:val="000000"/>
        </w:rPr>
      </w:pPr>
      <w:r>
        <w:rPr>
          <w:rFonts w:hint="eastAsia" w:ascii="宋体" w:hAnsi="宋体" w:cs="宋体"/>
          <w:sz w:val="21"/>
          <w:szCs w:val="21"/>
        </w:rPr>
        <mc:AlternateContent>
          <mc:Choice Requires="wps">
            <w:drawing>
              <wp:anchor distT="0" distB="0" distL="114300" distR="114300" simplePos="0" relativeHeight="251669504" behindDoc="0" locked="0" layoutInCell="1" allowOverlap="1">
                <wp:simplePos x="0" y="0"/>
                <wp:positionH relativeFrom="column">
                  <wp:posOffset>4860925</wp:posOffset>
                </wp:positionH>
                <wp:positionV relativeFrom="paragraph">
                  <wp:posOffset>363855</wp:posOffset>
                </wp:positionV>
                <wp:extent cx="347345" cy="354330"/>
                <wp:effectExtent l="12700" t="12700" r="20955" b="13970"/>
                <wp:wrapNone/>
                <wp:docPr id="7" name="椭圆 7"/>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382.75pt;margin-top:28.65pt;height:27.9pt;width:27.35pt;z-index:251669504;v-text-anchor:middle;mso-width-relative:page;mso-height-relative:page;" filled="f" stroked="t" coordsize="21600,21600" o:gfxdata="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8HyNX2gAAAAoBAAAPAAAAAAAAAAEAIAAAACIAAABkcnMvZG93bnJldi54&#10;bWxQSwECFAAUAAAACACHTuJAqGTGj/gBAADcAwAADgAAAAAAAAABACAAAAApAQAAZHJzL2Uyb0Rv&#10;Yy54bWxQSwUGAAAAAAYABgBZAQAAkwUAAAAA&#10;">
                <v:path/>
                <v:fill on="f" focussize="0,0"/>
                <v:stroke weight="2pt" color="#FF0000"/>
                <v:imagedata o:title=""/>
                <o:lock v:ext="edit"/>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70528" behindDoc="0" locked="0" layoutInCell="1" allowOverlap="1">
                <wp:simplePos x="0" y="0"/>
                <wp:positionH relativeFrom="column">
                  <wp:posOffset>2874645</wp:posOffset>
                </wp:positionH>
                <wp:positionV relativeFrom="paragraph">
                  <wp:posOffset>755015</wp:posOffset>
                </wp:positionV>
                <wp:extent cx="347345" cy="354330"/>
                <wp:effectExtent l="12700" t="12700" r="20955" b="13970"/>
                <wp:wrapNone/>
                <wp:docPr id="11" name="椭圆 11"/>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3</w:t>
                            </w:r>
                          </w:p>
                        </w:txbxContent>
                      </wps:txbx>
                      <wps:bodyPr lIns="0" tIns="0" rIns="0" bIns="0" anchor="ctr" upright="1"/>
                    </wps:wsp>
                  </a:graphicData>
                </a:graphic>
              </wp:anchor>
            </w:drawing>
          </mc:Choice>
          <mc:Fallback>
            <w:pict>
              <v:shape id="_x0000_s1026" o:spid="_x0000_s1026" o:spt="3" type="#_x0000_t3" style="position:absolute;left:0pt;margin-left:226.35pt;margin-top:59.45pt;height:27.9pt;width:27.35pt;z-index:251670528;v-text-anchor:middle;mso-width-relative:page;mso-height-relative:page;" filled="f" stroked="t" coordsize="21600,21600" o:gfxdata="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Vr8cTZAAAACwEAAA8AAAAAAAAAAQAgAAAAIgAAAGRycy9kb3ducmV2Lnht&#10;bFBLAQIUABQAAAAIAIdO4kAt1sWB+AEAAN4DAAAOAAAAAAAAAAEAIAAAACgBAABkcnMvZTJvRG9j&#10;LnhtbFBLBQYAAAAABgAGAFkBAACSBQAAAAA=&#10;">
                <v:path/>
                <v:fill on="f" focussize="0,0"/>
                <v:stroke weight="2pt" color="#FF0000"/>
                <v:imagedata o:title=""/>
                <o:lock v:ext="edit"/>
                <v:textbox inset="0mm,0mm,0mm,0mm">
                  <w:txbxContent>
                    <w:p>
                      <w:pPr>
                        <w:jc w:val="center"/>
                        <w:rPr>
                          <w:color w:val="FF0000"/>
                        </w:rPr>
                      </w:pPr>
                      <w:r>
                        <w:rPr>
                          <w:rFonts w:hint="eastAsia"/>
                          <w:color w:val="FF0000"/>
                        </w:rPr>
                        <w:t>3</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7456" behindDoc="0" locked="0" layoutInCell="1" allowOverlap="1">
                <wp:simplePos x="0" y="0"/>
                <wp:positionH relativeFrom="column">
                  <wp:posOffset>-52070</wp:posOffset>
                </wp:positionH>
                <wp:positionV relativeFrom="paragraph">
                  <wp:posOffset>378460</wp:posOffset>
                </wp:positionV>
                <wp:extent cx="347345" cy="354330"/>
                <wp:effectExtent l="12700" t="12700" r="20955" b="13970"/>
                <wp:wrapNone/>
                <wp:docPr id="9" name="椭圆 9"/>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1</w:t>
                            </w:r>
                          </w:p>
                        </w:txbxContent>
                      </wps:txbx>
                      <wps:bodyPr lIns="0" tIns="0" rIns="0" bIns="0" anchor="ctr" upright="1"/>
                    </wps:wsp>
                  </a:graphicData>
                </a:graphic>
              </wp:anchor>
            </w:drawing>
          </mc:Choice>
          <mc:Fallback>
            <w:pict>
              <v:shape id="_x0000_s1026" o:spid="_x0000_s1026" o:spt="3" type="#_x0000_t3" style="position:absolute;left:0pt;margin-left:-4.1pt;margin-top:29.8pt;height:27.9pt;width:27.35pt;z-index:251667456;v-text-anchor:middle;mso-width-relative:page;mso-height-relative:page;" filled="f" stroked="t" coordsize="21600,21600" o:gfxdata="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DRPMvYAAAACAEAAA8AAAAAAAAAAQAgAAAAIgAAAGRycy9kb3ducmV2Lnht&#10;bFBLAQIUABQAAAAIAIdO4kAxgppN+QEAANwDAAAOAAAAAAAAAAEAIAAAACcBAABkcnMvZTJvRG9j&#10;LnhtbFBLBQYAAAAABgAGAFkBAACSBQAAAAA=&#10;">
                <v:path/>
                <v:fill on="f" focussize="0,0"/>
                <v:stroke weight="2pt" color="#FF0000"/>
                <v:imagedata o:title=""/>
                <o:lock v:ext="edit"/>
                <v:textbox inset="0mm,0mm,0mm,0mm">
                  <w:txbxContent>
                    <w:p>
                      <w:pPr>
                        <w:jc w:val="center"/>
                        <w:rPr>
                          <w:color w:val="FF0000"/>
                        </w:rPr>
                      </w:pPr>
                      <w:r>
                        <w:rPr>
                          <w:rFonts w:hint="eastAsia"/>
                          <w:color w:val="FF0000"/>
                        </w:rPr>
                        <w:t>1</w:t>
                      </w:r>
                    </w:p>
                  </w:txbxContent>
                </v:textbox>
              </v:shape>
            </w:pict>
          </mc:Fallback>
        </mc:AlternateContent>
      </w:r>
      <w:r>
        <w:rPr>
          <w:rFonts w:hint="eastAsia" w:ascii="宋体" w:hAnsi="宋体" w:cs="宋体"/>
          <w:sz w:val="21"/>
          <w:szCs w:val="21"/>
        </w:rPr>
        <mc:AlternateContent>
          <mc:Choice Requires="wps">
            <w:drawing>
              <wp:anchor distT="0" distB="0" distL="114300" distR="114300" simplePos="0" relativeHeight="251668480" behindDoc="0" locked="0" layoutInCell="1" allowOverlap="1">
                <wp:simplePos x="0" y="0"/>
                <wp:positionH relativeFrom="column">
                  <wp:posOffset>2527300</wp:posOffset>
                </wp:positionH>
                <wp:positionV relativeFrom="paragraph">
                  <wp:posOffset>755650</wp:posOffset>
                </wp:positionV>
                <wp:extent cx="347345" cy="354330"/>
                <wp:effectExtent l="12700" t="12700" r="20955" b="13970"/>
                <wp:wrapNone/>
                <wp:docPr id="10" name="椭圆 10"/>
                <wp:cNvGraphicFramePr/>
                <a:graphic xmlns:a="http://schemas.openxmlformats.org/drawingml/2006/main">
                  <a:graphicData uri="http://schemas.microsoft.com/office/word/2010/wordprocessingShape">
                    <wps:wsp>
                      <wps:cNvSpPr/>
                      <wps:spPr>
                        <a:xfrm>
                          <a:off x="0" y="0"/>
                          <a:ext cx="347345" cy="354330"/>
                        </a:xfrm>
                        <a:prstGeom prst="ellipse">
                          <a:avLst/>
                        </a:prstGeom>
                        <a:noFill/>
                        <a:ln w="25400" cap="flat" cmpd="sng">
                          <a:solidFill>
                            <a:srgbClr val="FF0000"/>
                          </a:solidFill>
                          <a:prstDash val="solid"/>
                          <a:headEnd type="none" w="med" len="med"/>
                          <a:tailEnd type="none" w="med" len="med"/>
                        </a:ln>
                      </wps:spPr>
                      <wps:txbx>
                        <w:txbxContent>
                          <w:p>
                            <w:pPr>
                              <w:jc w:val="center"/>
                              <w:rPr>
                                <w:color w:val="FF0000"/>
                              </w:rPr>
                            </w:pPr>
                            <w:r>
                              <w:rPr>
                                <w:rFonts w:hint="eastAsia"/>
                                <w:color w:val="FF0000"/>
                              </w:rPr>
                              <w:t>2</w:t>
                            </w:r>
                          </w:p>
                        </w:txbxContent>
                      </wps:txbx>
                      <wps:bodyPr lIns="0" tIns="0" rIns="0" bIns="0" anchor="ctr" upright="1"/>
                    </wps:wsp>
                  </a:graphicData>
                </a:graphic>
              </wp:anchor>
            </w:drawing>
          </mc:Choice>
          <mc:Fallback>
            <w:pict>
              <v:shape id="_x0000_s1026" o:spid="_x0000_s1026" o:spt="3" type="#_x0000_t3" style="position:absolute;left:0pt;margin-left:199pt;margin-top:59.5pt;height:27.9pt;width:27.35pt;z-index:251668480;v-text-anchor:middle;mso-width-relative:page;mso-height-relative:page;" filled="f" stroked="t" coordsize="21600,21600" o:gfxdata="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BFoXy2gAAAAsBAAAPAAAAAAAAAAEAIAAAACIAAABkcnMvZG93bnJldi54&#10;bWxQSwECFAAUAAAACACHTuJAfjDCp/gBAADeAwAADgAAAAAAAAABACAAAAApAQAAZHJzL2Uyb0Rv&#10;Yy54bWxQSwUGAAAAAAYABgBZAQAAkwUAAAAA&#10;">
                <v:path/>
                <v:fill on="f" focussize="0,0"/>
                <v:stroke weight="2pt" color="#FF0000"/>
                <v:imagedata o:title=""/>
                <o:lock v:ext="edit"/>
                <v:textbox inset="0mm,0mm,0mm,0mm">
                  <w:txbxContent>
                    <w:p>
                      <w:pPr>
                        <w:jc w:val="center"/>
                        <w:rPr>
                          <w:color w:val="FF0000"/>
                        </w:rPr>
                      </w:pPr>
                      <w:r>
                        <w:rPr>
                          <w:rFonts w:hint="eastAsia"/>
                          <w:color w:val="FF0000"/>
                        </w:rPr>
                        <w:t>2</w:t>
                      </w:r>
                    </w:p>
                  </w:txbxContent>
                </v:textbox>
              </v:shape>
            </w:pict>
          </mc:Fallback>
        </mc:AlternateContent>
      </w:r>
      <w:r>
        <w:rPr>
          <w:rFonts w:hint="eastAsia" w:ascii="宋体" w:hAnsi="宋体" w:cs="宋体"/>
          <w:sz w:val="21"/>
          <w:szCs w:val="21"/>
        </w:rPr>
        <w:drawing>
          <wp:inline distT="0" distB="0" distL="114300" distR="114300">
            <wp:extent cx="5280660" cy="1028700"/>
            <wp:effectExtent l="0" t="0" r="15240" b="0"/>
            <wp:docPr id="8" name="图片 4" descr="说明: C:\Users\abc\AppData\Roaming\Tencent\Users\42054949\QQ\WinTemp\RichOle\PI$9P51%_3)$`]FJTC])1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说明: C:\Users\abc\AppData\Roaming\Tencent\Users\42054949\QQ\WinTemp\RichOle\PI$9P51%_3)$`]FJTC])1M3.png"/>
                    <pic:cNvPicPr>
                      <a:picLocks noChangeAspect="1"/>
                    </pic:cNvPicPr>
                  </pic:nvPicPr>
                  <pic:blipFill>
                    <a:blip r:embed="rId7"/>
                    <a:srcRect r="-473"/>
                    <a:stretch>
                      <a:fillRect/>
                    </a:stretch>
                  </pic:blipFill>
                  <pic:spPr>
                    <a:xfrm>
                      <a:off x="0" y="0"/>
                      <a:ext cx="5280660" cy="1028700"/>
                    </a:xfrm>
                    <a:prstGeom prst="rect">
                      <a:avLst/>
                    </a:prstGeom>
                    <a:noFill/>
                    <a:ln>
                      <a:noFill/>
                    </a:ln>
                  </pic:spPr>
                </pic:pic>
              </a:graphicData>
            </a:graphic>
          </wp:inline>
        </w:drawing>
      </w:r>
    </w:p>
    <w:p/>
    <w:sectPr>
      <w:footerReference r:id="rId3" w:type="default"/>
      <w:pgSz w:w="11906" w:h="16838"/>
      <w:pgMar w:top="1440" w:right="1587" w:bottom="1440"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MR8ODrDAgAA2AUAAA4AAAAA&#10;AAAAAQAgAAAAHwEAAGRycy9lMm9Eb2MueG1sUEsFBgAAAAAGAAYAWQEAAFQG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737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lang w:val="en-US" w:eastAsia="zh-CN" w:bidi="ar-SA"/>
    </w:rPr>
  </w:style>
  <w:style w:type="paragraph" w:styleId="2">
    <w:name w:val="heading 3"/>
    <w:basedOn w:val="1"/>
    <w:next w:val="1"/>
    <w:qFormat/>
    <w:uiPriority w:val="0"/>
    <w:pPr>
      <w:keepNext/>
      <w:widowControl w:val="0"/>
      <w:tabs>
        <w:tab w:val="left" w:pos="720"/>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120" w:lineRule="atLeast"/>
      <w:outlineLvl w:val="2"/>
    </w:pPr>
    <w:rPr>
      <w:rFonts w:ascii="MS Sans Serif" w:hAnsi="MS Sans Serif"/>
      <w:sz w:val="24"/>
      <w:szCs w:val="20"/>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Lines="0" w:beforeAutospacing="1" w:after="100" w:afterLines="0" w:afterAutospacing="1"/>
    </w:pPr>
    <w:rPr>
      <w:rFonts w:ascii="宋体" w:hAnsi="宋体" w:cs="宋体"/>
      <w:sz w:val="24"/>
      <w:szCs w:val="24"/>
    </w:rPr>
  </w:style>
  <w:style w:type="paragraph" w:customStyle="1" w:styleId="8">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Office_10.8.2.6990_F1E327BC-269C-435d-A152-05C5408002CA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gjinling-jl</dc:creator>
  <cp:lastModifiedBy>gjinling-jl</cp:lastModifiedBy>
  <dcterms:modified xsi:type="dcterms:W3CDTF">2020-07-28T02:37:20Z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2052-10.8.2.6990</vt:lpwstr>
  </property>
</Properties>
</file>