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rPr>
          <w:rFonts w:hint="eastAsia"/>
        </w:rPr>
        <w:t>招标公告</w:t>
      </w:r>
    </w:p>
    <w:p>
      <w:pPr>
        <w:widowControl w:val="0"/>
        <w:autoSpaceDE w:val="0"/>
        <w:autoSpaceDN w:val="0"/>
        <w:adjustRightInd w:val="0"/>
        <w:spacing w:line="560" w:lineRule="exact"/>
        <w:ind w:firstLine="161"/>
        <w:jc w:val="center"/>
        <w:rPr>
          <w:rFonts w:cs="黑体" w:asciiTheme="minorEastAsia" w:hAnsiTheme="minorEastAsia"/>
          <w:b/>
          <w:sz w:val="32"/>
          <w:szCs w:val="32"/>
        </w:rPr>
      </w:pPr>
      <w:r>
        <w:rPr>
          <w:rFonts w:hint="eastAsia" w:cs="黑体" w:asciiTheme="minorEastAsia" w:hAnsiTheme="minorEastAsia"/>
          <w:b/>
          <w:color w:val="0033CC"/>
          <w:sz w:val="32"/>
          <w:szCs w:val="32"/>
          <w:lang w:eastAsia="zh-CN"/>
        </w:rPr>
        <w:t>川庆钻探工程有限公司工程技术研究院磺化醛酮缩聚物减水剂采购</w:t>
      </w:r>
      <w:r>
        <w:rPr>
          <w:rFonts w:hint="eastAsia" w:cs="黑体" w:asciiTheme="minorEastAsia" w:hAnsiTheme="minorEastAsia"/>
          <w:b/>
          <w:color w:val="0033CC"/>
          <w:sz w:val="32"/>
          <w:szCs w:val="32"/>
        </w:rPr>
        <w:t>招标</w:t>
      </w:r>
      <w:r>
        <w:rPr>
          <w:rFonts w:cs="黑体" w:asciiTheme="minorEastAsia" w:hAnsiTheme="minorEastAsia"/>
          <w:b/>
          <w:sz w:val="32"/>
          <w:szCs w:val="32"/>
        </w:rPr>
        <w:t>公告</w:t>
      </w:r>
    </w:p>
    <w:p>
      <w:pPr>
        <w:widowControl w:val="0"/>
        <w:wordWrap w:val="0"/>
        <w:autoSpaceDE w:val="0"/>
        <w:autoSpaceDN w:val="0"/>
        <w:adjustRightInd w:val="0"/>
        <w:spacing w:line="520" w:lineRule="exact"/>
        <w:ind w:firstLine="105" w:firstLineChars="50"/>
        <w:jc w:val="right"/>
        <w:rPr>
          <w:rFonts w:hint="eastAsia" w:cs="宋体" w:asciiTheme="minorEastAsia" w:hAnsiTheme="minorEastAsia" w:eastAsiaTheme="minorEastAsia"/>
          <w:sz w:val="21"/>
          <w:szCs w:val="21"/>
          <w:lang w:eastAsia="zh-CN"/>
        </w:rPr>
      </w:pPr>
      <w:r>
        <w:rPr>
          <w:rFonts w:hint="eastAsia" w:cs="宋体" w:asciiTheme="minorEastAsia" w:hAnsiTheme="minorEastAsia"/>
          <w:sz w:val="21"/>
          <w:szCs w:val="21"/>
        </w:rPr>
        <w:t>招标编号：</w:t>
      </w:r>
      <w:r>
        <w:rPr>
          <w:rFonts w:hint="eastAsia" w:cs="宋体" w:asciiTheme="minorEastAsia" w:hAnsiTheme="minorEastAsia"/>
          <w:sz w:val="21"/>
          <w:szCs w:val="21"/>
          <w:lang w:eastAsia="zh-CN"/>
        </w:rPr>
        <w:t>ZY20-XA308-WZ365</w:t>
      </w:r>
    </w:p>
    <w:p>
      <w:pPr>
        <w:pStyle w:val="5"/>
        <w:spacing w:line="520" w:lineRule="exact"/>
        <w:jc w:val="left"/>
        <w:outlineLvl w:val="1"/>
        <w:rPr>
          <w:rFonts w:asciiTheme="minorEastAsia" w:hAnsiTheme="minorEastAsia" w:eastAsiaTheme="minorEastAsia"/>
          <w:sz w:val="28"/>
          <w:szCs w:val="28"/>
        </w:rPr>
      </w:pPr>
      <w:bookmarkStart w:id="0" w:name="_Toc518554532"/>
      <w:bookmarkStart w:id="1" w:name="_Toc518554534"/>
      <w:r>
        <w:rPr>
          <w:rFonts w:hint="eastAsia" w:cs="Times New Roman" w:asciiTheme="minorEastAsia" w:hAnsiTheme="minorEastAsia" w:eastAsiaTheme="minorEastAsia"/>
          <w:sz w:val="28"/>
          <w:szCs w:val="28"/>
        </w:rPr>
        <w:t xml:space="preserve">1. </w:t>
      </w:r>
      <w:r>
        <w:rPr>
          <w:rFonts w:asciiTheme="minorEastAsia" w:hAnsiTheme="minorEastAsia" w:eastAsiaTheme="minorEastAsia"/>
          <w:sz w:val="28"/>
          <w:szCs w:val="28"/>
        </w:rPr>
        <w:t>招标条件</w:t>
      </w:r>
      <w:bookmarkEnd w:id="0"/>
    </w:p>
    <w:p>
      <w:pPr>
        <w:widowControl w:val="0"/>
        <w:autoSpaceDE w:val="0"/>
        <w:autoSpaceDN w:val="0"/>
        <w:adjustRightInd w:val="0"/>
        <w:spacing w:line="520" w:lineRule="exact"/>
        <w:ind w:firstLine="420" w:firstLineChars="200"/>
        <w:rPr>
          <w:rFonts w:cs="黑体" w:asciiTheme="minorEastAsia" w:hAnsiTheme="minorEastAsia"/>
          <w:sz w:val="21"/>
          <w:szCs w:val="21"/>
        </w:rPr>
      </w:pPr>
      <w:r>
        <w:rPr>
          <w:rFonts w:cs="宋体" w:asciiTheme="minorEastAsia" w:hAnsiTheme="minorEastAsia"/>
          <w:sz w:val="21"/>
          <w:szCs w:val="21"/>
        </w:rPr>
        <w:t>本招标项目招标人为</w:t>
      </w:r>
      <w:r>
        <w:rPr>
          <w:rFonts w:hint="eastAsia" w:cs="宋体" w:asciiTheme="minorEastAsia" w:hAnsiTheme="minorEastAsia"/>
          <w:b/>
          <w:color w:val="0033CC"/>
          <w:sz w:val="21"/>
          <w:szCs w:val="21"/>
          <w:u w:val="single"/>
          <w:lang w:eastAsia="zh-CN"/>
        </w:rPr>
        <w:t>川庆钻探工程有限公司工程技术研究</w:t>
      </w:r>
      <w:r>
        <w:rPr>
          <w:rFonts w:cs="宋体" w:asciiTheme="minorEastAsia" w:hAnsiTheme="minorEastAsia"/>
          <w:sz w:val="21"/>
          <w:szCs w:val="21"/>
        </w:rPr>
        <w:t>，招标项目资金</w:t>
      </w:r>
      <w:r>
        <w:rPr>
          <w:rFonts w:hint="eastAsia" w:cs="宋体" w:asciiTheme="minorEastAsia" w:hAnsiTheme="minorEastAsia"/>
          <w:sz w:val="21"/>
          <w:szCs w:val="21"/>
        </w:rPr>
        <w:t>已落实</w:t>
      </w:r>
      <w:r>
        <w:rPr>
          <w:rFonts w:cs="宋体" w:asciiTheme="minorEastAsia" w:hAnsiTheme="minorEastAsia"/>
          <w:sz w:val="21"/>
          <w:szCs w:val="21"/>
        </w:rPr>
        <w:t>。该项目已具备招标条件，</w:t>
      </w:r>
      <w:r>
        <w:rPr>
          <w:rFonts w:hint="eastAsia" w:cs="宋体" w:asciiTheme="minorEastAsia" w:hAnsiTheme="minorEastAsia"/>
          <w:sz w:val="21"/>
          <w:szCs w:val="21"/>
        </w:rPr>
        <w:t>中国石油物资有限公司西安分公司受</w:t>
      </w:r>
      <w:r>
        <w:rPr>
          <w:rFonts w:hint="eastAsia" w:cs="宋体" w:asciiTheme="minorEastAsia" w:hAnsiTheme="minorEastAsia"/>
          <w:b/>
          <w:color w:val="0033CC"/>
          <w:sz w:val="21"/>
          <w:szCs w:val="21"/>
          <w:u w:val="single"/>
          <w:lang w:eastAsia="zh-CN"/>
        </w:rPr>
        <w:t>川庆钻探工程有限公司工程技术研究</w:t>
      </w:r>
      <w:r>
        <w:rPr>
          <w:rFonts w:hint="eastAsia" w:cs="宋体" w:asciiTheme="minorEastAsia" w:hAnsiTheme="minorEastAsia"/>
          <w:sz w:val="21"/>
          <w:szCs w:val="21"/>
        </w:rPr>
        <w:t>委托，</w:t>
      </w:r>
      <w:r>
        <w:rPr>
          <w:rFonts w:cs="宋体" w:asciiTheme="minorEastAsia" w:hAnsiTheme="minorEastAsia"/>
          <w:sz w:val="21"/>
          <w:szCs w:val="21"/>
        </w:rPr>
        <w:t>现对</w:t>
      </w:r>
      <w:r>
        <w:rPr>
          <w:rFonts w:hint="eastAsia" w:cs="黑体" w:asciiTheme="minorEastAsia" w:hAnsiTheme="minorEastAsia"/>
          <w:color w:val="0033CC"/>
          <w:sz w:val="21"/>
          <w:szCs w:val="21"/>
        </w:rPr>
        <w:t>其</w:t>
      </w:r>
      <w:r>
        <w:rPr>
          <w:rFonts w:cs="宋体" w:asciiTheme="minorEastAsia" w:hAnsiTheme="minorEastAsia"/>
          <w:sz w:val="21"/>
          <w:szCs w:val="21"/>
        </w:rPr>
        <w:t>进行公开招标。</w:t>
      </w:r>
    </w:p>
    <w:p>
      <w:pPr>
        <w:pStyle w:val="5"/>
        <w:spacing w:line="520" w:lineRule="exact"/>
        <w:jc w:val="left"/>
        <w:outlineLvl w:val="1"/>
        <w:rPr>
          <w:rFonts w:cs="Times New Roman" w:asciiTheme="minorEastAsia" w:hAnsiTheme="minorEastAsia" w:eastAsiaTheme="minorEastAsia"/>
          <w:sz w:val="28"/>
          <w:szCs w:val="28"/>
        </w:rPr>
      </w:pPr>
      <w:bookmarkStart w:id="2" w:name="_Toc518554533"/>
      <w:r>
        <w:rPr>
          <w:rFonts w:cs="Times New Roman" w:asciiTheme="minorEastAsia" w:hAnsiTheme="minorEastAsia" w:eastAsiaTheme="minorEastAsia"/>
          <w:sz w:val="28"/>
          <w:szCs w:val="28"/>
        </w:rPr>
        <w:t>2. 项目概况与招标范围</w:t>
      </w:r>
      <w:bookmarkEnd w:id="2"/>
    </w:p>
    <w:p>
      <w:pPr>
        <w:widowControl w:val="0"/>
        <w:autoSpaceDE w:val="0"/>
        <w:autoSpaceDN w:val="0"/>
        <w:adjustRightInd w:val="0"/>
        <w:spacing w:line="520" w:lineRule="exact"/>
        <w:ind w:firstLine="411" w:firstLineChars="196"/>
        <w:rPr>
          <w:rFonts w:asciiTheme="minorEastAsia" w:hAnsiTheme="minorEastAsia"/>
          <w:bCs/>
          <w:sz w:val="21"/>
          <w:szCs w:val="21"/>
        </w:rPr>
      </w:pPr>
      <w:r>
        <w:rPr>
          <w:rFonts w:hint="eastAsia" w:asciiTheme="minorEastAsia" w:hAnsiTheme="minorEastAsia"/>
          <w:bCs/>
          <w:sz w:val="21"/>
          <w:szCs w:val="21"/>
        </w:rPr>
        <w:t>2.1 本招标项目为</w:t>
      </w:r>
      <w:r>
        <w:rPr>
          <w:rFonts w:hint="eastAsia" w:asciiTheme="minorEastAsia" w:hAnsiTheme="minorEastAsia"/>
          <w:b/>
          <w:bCs/>
          <w:color w:val="0033CC"/>
          <w:sz w:val="21"/>
          <w:szCs w:val="21"/>
          <w:u w:val="single"/>
        </w:rPr>
        <w:t>带量采购招标</w:t>
      </w:r>
      <w:r>
        <w:rPr>
          <w:rFonts w:hint="eastAsia" w:asciiTheme="minorEastAsia" w:hAnsiTheme="minorEastAsia"/>
          <w:b/>
          <w:bCs/>
          <w:color w:val="0033CC"/>
          <w:sz w:val="21"/>
          <w:szCs w:val="21"/>
        </w:rPr>
        <w:t>，</w:t>
      </w:r>
      <w:r>
        <w:rPr>
          <w:rFonts w:hint="eastAsia" w:asciiTheme="minorEastAsia" w:hAnsiTheme="minorEastAsia"/>
          <w:bCs/>
          <w:sz w:val="21"/>
          <w:szCs w:val="21"/>
        </w:rPr>
        <w:t>采购物资所属类别为</w:t>
      </w:r>
      <w:r>
        <w:rPr>
          <w:rFonts w:hint="eastAsia" w:asciiTheme="minorEastAsia" w:hAnsiTheme="minorEastAsia"/>
          <w:b/>
          <w:bCs/>
          <w:color w:val="0033CC"/>
          <w:sz w:val="21"/>
          <w:szCs w:val="21"/>
          <w:lang w:val="en-US" w:eastAsia="zh-CN"/>
        </w:rPr>
        <w:t>10</w:t>
      </w:r>
      <w:r>
        <w:rPr>
          <w:rFonts w:hint="eastAsia" w:asciiTheme="minorEastAsia" w:hAnsiTheme="minorEastAsia"/>
          <w:bCs/>
          <w:sz w:val="21"/>
          <w:szCs w:val="21"/>
        </w:rPr>
        <w:t>大类</w:t>
      </w:r>
      <w:r>
        <w:rPr>
          <w:rFonts w:hint="eastAsia" w:asciiTheme="minorEastAsia" w:hAnsiTheme="minorEastAsia"/>
          <w:b/>
          <w:bCs/>
          <w:color w:val="0033CC"/>
          <w:sz w:val="21"/>
          <w:szCs w:val="21"/>
        </w:rPr>
        <w:t>，</w:t>
      </w:r>
      <w:r>
        <w:rPr>
          <w:rFonts w:hint="eastAsia" w:asciiTheme="minorEastAsia" w:hAnsiTheme="minorEastAsia"/>
          <w:bCs/>
          <w:sz w:val="21"/>
          <w:szCs w:val="21"/>
        </w:rPr>
        <w:t>项目划分为</w:t>
      </w:r>
      <w:r>
        <w:rPr>
          <w:rFonts w:asciiTheme="minorEastAsia" w:hAnsiTheme="minorEastAsia"/>
          <w:b/>
          <w:bCs/>
          <w:color w:val="0033CC"/>
          <w:sz w:val="21"/>
          <w:szCs w:val="21"/>
        </w:rPr>
        <w:t>1</w:t>
      </w:r>
      <w:r>
        <w:rPr>
          <w:rFonts w:hint="eastAsia" w:asciiTheme="minorEastAsia" w:hAnsiTheme="minorEastAsia"/>
          <w:bCs/>
          <w:sz w:val="21"/>
          <w:szCs w:val="21"/>
        </w:rPr>
        <w:t>标包/段。预计采购金额</w:t>
      </w:r>
      <w:r>
        <w:rPr>
          <w:rFonts w:hint="eastAsia" w:asciiTheme="minorEastAsia" w:hAnsiTheme="minorEastAsia"/>
          <w:b/>
          <w:bCs/>
          <w:color w:val="0033CC"/>
          <w:sz w:val="21"/>
          <w:szCs w:val="21"/>
          <w:u w:val="single"/>
          <w:lang w:val="en-US" w:eastAsia="zh-CN"/>
        </w:rPr>
        <w:t>480</w:t>
      </w:r>
      <w:r>
        <w:rPr>
          <w:rFonts w:hint="eastAsia" w:asciiTheme="minorEastAsia" w:hAnsiTheme="minorEastAsia"/>
          <w:bCs/>
          <w:sz w:val="21"/>
          <w:szCs w:val="21"/>
        </w:rPr>
        <w:t>万元，招标采购物资品种及规格见第五章供货要求。</w:t>
      </w:r>
    </w:p>
    <w:p>
      <w:pPr>
        <w:widowControl w:val="0"/>
        <w:autoSpaceDE w:val="0"/>
        <w:autoSpaceDN w:val="0"/>
        <w:adjustRightInd w:val="0"/>
        <w:spacing w:line="520" w:lineRule="exact"/>
        <w:ind w:firstLine="411" w:firstLineChars="196"/>
        <w:rPr>
          <w:rFonts w:cs="黑体" w:asciiTheme="minorEastAsia" w:hAnsiTheme="minorEastAsia"/>
          <w:sz w:val="21"/>
          <w:szCs w:val="21"/>
        </w:rPr>
      </w:pPr>
      <w:r>
        <w:rPr>
          <w:rFonts w:hint="eastAsia" w:cs="黑体" w:asciiTheme="minorEastAsia" w:hAnsiTheme="minorEastAsia"/>
          <w:sz w:val="21"/>
          <w:szCs w:val="21"/>
        </w:rPr>
        <w:t>2.2 技术标准及要求:</w:t>
      </w:r>
      <w:r>
        <w:rPr>
          <w:rFonts w:hint="eastAsia" w:cs="黑体" w:asciiTheme="minorEastAsia" w:hAnsiTheme="minorEastAsia"/>
          <w:b/>
          <w:color w:val="0000FF"/>
          <w:sz w:val="21"/>
          <w:szCs w:val="21"/>
        </w:rPr>
        <w:t>详见第五章。</w:t>
      </w:r>
    </w:p>
    <w:p>
      <w:pPr>
        <w:widowControl w:val="0"/>
        <w:autoSpaceDE w:val="0"/>
        <w:autoSpaceDN w:val="0"/>
        <w:adjustRightInd w:val="0"/>
        <w:spacing w:line="520" w:lineRule="exact"/>
        <w:ind w:firstLine="411" w:firstLineChars="196"/>
        <w:rPr>
          <w:rFonts w:cs="黑体" w:asciiTheme="minorEastAsia" w:hAnsiTheme="minorEastAsia"/>
          <w:sz w:val="21"/>
          <w:szCs w:val="21"/>
        </w:rPr>
      </w:pPr>
      <w:r>
        <w:rPr>
          <w:rFonts w:hint="eastAsia" w:cs="黑体" w:asciiTheme="minorEastAsia" w:hAnsiTheme="minorEastAsia"/>
          <w:sz w:val="21"/>
          <w:szCs w:val="21"/>
        </w:rPr>
        <w:t>2.3 交货地点：</w:t>
      </w:r>
      <w:r>
        <w:rPr>
          <w:rFonts w:hint="eastAsia" w:asciiTheme="minorEastAsia" w:hAnsiTheme="minorEastAsia"/>
          <w:b/>
          <w:bCs/>
          <w:color w:val="0033CC"/>
          <w:sz w:val="21"/>
          <w:szCs w:val="21"/>
          <w:lang w:eastAsia="zh-CN"/>
        </w:rPr>
        <w:t>陕西省西安市高陵区泾河工业园（具体地点，甲方书面正式通知）</w:t>
      </w:r>
      <w:r>
        <w:rPr>
          <w:rFonts w:hint="eastAsia" w:asciiTheme="minorEastAsia" w:hAnsiTheme="minorEastAsia"/>
          <w:b/>
          <w:bCs/>
          <w:color w:val="0033CC"/>
          <w:sz w:val="21"/>
          <w:szCs w:val="21"/>
        </w:rPr>
        <w:t>。</w:t>
      </w:r>
    </w:p>
    <w:p>
      <w:pPr>
        <w:widowControl w:val="0"/>
        <w:autoSpaceDE w:val="0"/>
        <w:autoSpaceDN w:val="0"/>
        <w:adjustRightInd w:val="0"/>
        <w:spacing w:line="520" w:lineRule="exact"/>
        <w:ind w:firstLine="411" w:firstLineChars="196"/>
        <w:rPr>
          <w:rFonts w:cs="黑体" w:asciiTheme="minorEastAsia" w:hAnsiTheme="minorEastAsia"/>
          <w:b/>
          <w:bCs/>
          <w:color w:val="0000FF"/>
          <w:sz w:val="21"/>
          <w:szCs w:val="21"/>
        </w:rPr>
      </w:pPr>
      <w:r>
        <w:rPr>
          <w:rFonts w:hint="eastAsia" w:cs="黑体" w:asciiTheme="minorEastAsia" w:hAnsiTheme="minorEastAsia"/>
          <w:sz w:val="21"/>
          <w:szCs w:val="21"/>
        </w:rPr>
        <w:t>2.4</w:t>
      </w:r>
      <w:r>
        <w:rPr>
          <w:rFonts w:hint="eastAsia" w:cs="黑体" w:asciiTheme="minorEastAsia" w:hAnsiTheme="minorEastAsia"/>
          <w:sz w:val="21"/>
          <w:szCs w:val="21"/>
          <w:lang w:val="en-US" w:eastAsia="zh-CN"/>
        </w:rPr>
        <w:t xml:space="preserve"> </w:t>
      </w:r>
      <w:r>
        <w:rPr>
          <w:rFonts w:hint="eastAsia" w:cs="黑体" w:asciiTheme="minorEastAsia" w:hAnsiTheme="minorEastAsia"/>
          <w:sz w:val="21"/>
          <w:szCs w:val="21"/>
        </w:rPr>
        <w:t>交货时间：</w:t>
      </w:r>
      <w:r>
        <w:rPr>
          <w:rFonts w:hint="eastAsia" w:asciiTheme="minorEastAsia" w:hAnsiTheme="minorEastAsia"/>
          <w:b/>
          <w:bCs/>
          <w:color w:val="0033CC"/>
          <w:sz w:val="21"/>
          <w:szCs w:val="21"/>
        </w:rPr>
        <w:t>要求分批送货,每批次的交货期限为招标人订单下达后10日内。</w:t>
      </w:r>
    </w:p>
    <w:p>
      <w:pPr>
        <w:widowControl w:val="0"/>
        <w:autoSpaceDE w:val="0"/>
        <w:autoSpaceDN w:val="0"/>
        <w:adjustRightInd w:val="0"/>
        <w:spacing w:line="520" w:lineRule="exact"/>
        <w:ind w:firstLine="411" w:firstLineChars="196"/>
        <w:rPr>
          <w:rFonts w:asciiTheme="minorEastAsia" w:hAnsiTheme="minorEastAsia"/>
          <w:b/>
          <w:bCs/>
          <w:color w:val="0033CC"/>
          <w:sz w:val="21"/>
          <w:szCs w:val="21"/>
        </w:rPr>
      </w:pPr>
      <w:r>
        <w:rPr>
          <w:rFonts w:hint="eastAsia" w:cs="黑体" w:asciiTheme="minorEastAsia" w:hAnsiTheme="minorEastAsia"/>
          <w:sz w:val="21"/>
          <w:szCs w:val="21"/>
        </w:rPr>
        <w:t>2.5 履约期限：</w:t>
      </w:r>
      <w:r>
        <w:rPr>
          <w:rFonts w:hint="eastAsia" w:cs="黑体" w:asciiTheme="minorEastAsia" w:hAnsiTheme="minorEastAsia"/>
          <w:b/>
          <w:bCs/>
          <w:color w:val="0000FF"/>
          <w:sz w:val="21"/>
          <w:szCs w:val="21"/>
          <w:lang w:eastAsia="zh-CN"/>
        </w:rPr>
        <w:t>自合同签订之日起一年</w:t>
      </w:r>
      <w:r>
        <w:rPr>
          <w:rFonts w:hint="eastAsia" w:cs="黑体" w:asciiTheme="minorEastAsia" w:hAnsiTheme="minorEastAsia"/>
          <w:b/>
          <w:bCs/>
          <w:color w:val="0000FF"/>
          <w:sz w:val="21"/>
          <w:szCs w:val="21"/>
        </w:rPr>
        <w:t>。</w:t>
      </w:r>
    </w:p>
    <w:p>
      <w:pPr>
        <w:pStyle w:val="5"/>
        <w:spacing w:line="520" w:lineRule="exact"/>
        <w:jc w:val="left"/>
        <w:outlineLvl w:val="1"/>
        <w:rPr>
          <w:rFonts w:cs="Times New Roman" w:asciiTheme="minorEastAsia" w:hAnsiTheme="minorEastAsia" w:eastAsiaTheme="minorEastAsia"/>
          <w:sz w:val="28"/>
          <w:szCs w:val="28"/>
        </w:rPr>
      </w:pPr>
      <w:r>
        <w:rPr>
          <w:rFonts w:cs="Times New Roman" w:asciiTheme="minorEastAsia" w:hAnsiTheme="minorEastAsia" w:eastAsiaTheme="minorEastAsia"/>
          <w:sz w:val="28"/>
          <w:szCs w:val="28"/>
        </w:rPr>
        <w:t>3. 投标人资格要求</w:t>
      </w:r>
      <w:bookmarkEnd w:id="1"/>
    </w:p>
    <w:p>
      <w:pPr>
        <w:widowControl w:val="0"/>
        <w:autoSpaceDE w:val="0"/>
        <w:autoSpaceDN w:val="0"/>
        <w:adjustRightInd w:val="0"/>
        <w:spacing w:line="500" w:lineRule="exact"/>
        <w:ind w:firstLine="420" w:firstLineChars="200"/>
        <w:rPr>
          <w:rFonts w:cs="黑体" w:asciiTheme="minorEastAsia" w:hAnsiTheme="minorEastAsia"/>
          <w:bCs/>
          <w:sz w:val="21"/>
          <w:szCs w:val="21"/>
          <w:lang w:val="zh-CN"/>
        </w:rPr>
      </w:pPr>
      <w:bookmarkStart w:id="3" w:name="_Toc518554535"/>
      <w:r>
        <w:rPr>
          <w:rFonts w:hint="eastAsia" w:cs="黑体" w:asciiTheme="minorEastAsia" w:hAnsiTheme="minorEastAsia"/>
          <w:bCs/>
          <w:sz w:val="21"/>
          <w:szCs w:val="21"/>
        </w:rPr>
        <w:t>3</w:t>
      </w:r>
      <w:r>
        <w:rPr>
          <w:rFonts w:hint="eastAsia" w:cs="黑体" w:asciiTheme="minorEastAsia" w:hAnsiTheme="minorEastAsia"/>
          <w:bCs/>
          <w:sz w:val="21"/>
          <w:szCs w:val="21"/>
          <w:lang w:val="zh-CN"/>
        </w:rPr>
        <w:t>.1 投标人须是依照中华人民共和国法律在国内注册的独立法人或其他组织，</w:t>
      </w:r>
      <w:r>
        <w:rPr>
          <w:rFonts w:hint="eastAsia" w:cs="黑体" w:asciiTheme="minorEastAsia" w:hAnsiTheme="minorEastAsia"/>
          <w:bCs/>
          <w:sz w:val="21"/>
          <w:szCs w:val="21"/>
        </w:rPr>
        <w:t>投标人营业执照需涵盖招标内容</w:t>
      </w:r>
      <w:r>
        <w:rPr>
          <w:rFonts w:hint="eastAsia" w:cs="黑体" w:asciiTheme="minorEastAsia" w:hAnsiTheme="minorEastAsia"/>
          <w:bCs/>
          <w:sz w:val="21"/>
          <w:szCs w:val="21"/>
          <w:lang w:val="zh-CN"/>
        </w:rPr>
        <w:t>。</w:t>
      </w:r>
    </w:p>
    <w:p>
      <w:pPr>
        <w:widowControl w:val="0"/>
        <w:autoSpaceDE w:val="0"/>
        <w:autoSpaceDN w:val="0"/>
        <w:adjustRightInd w:val="0"/>
        <w:spacing w:line="500" w:lineRule="exact"/>
        <w:ind w:firstLine="420" w:firstLineChars="200"/>
        <w:rPr>
          <w:rFonts w:hint="eastAsia" w:cs="黑体" w:asciiTheme="minorEastAsia" w:hAnsiTheme="minorEastAsia"/>
          <w:sz w:val="21"/>
          <w:szCs w:val="21"/>
        </w:rPr>
      </w:pPr>
      <w:r>
        <w:rPr>
          <w:rFonts w:hint="eastAsia" w:cs="黑体" w:asciiTheme="minorEastAsia" w:hAnsiTheme="minorEastAsia"/>
          <w:bCs/>
          <w:sz w:val="21"/>
          <w:szCs w:val="21"/>
        </w:rPr>
        <w:t>3</w:t>
      </w:r>
      <w:r>
        <w:rPr>
          <w:rFonts w:hint="eastAsia" w:cs="黑体" w:asciiTheme="minorEastAsia" w:hAnsiTheme="minorEastAsia"/>
          <w:bCs/>
          <w:sz w:val="21"/>
          <w:szCs w:val="21"/>
          <w:lang w:val="zh-CN"/>
        </w:rPr>
        <w:t>.</w:t>
      </w:r>
      <w:r>
        <w:rPr>
          <w:rFonts w:hint="eastAsia" w:cs="黑体" w:asciiTheme="minorEastAsia" w:hAnsiTheme="minorEastAsia"/>
          <w:bCs/>
          <w:sz w:val="21"/>
          <w:szCs w:val="21"/>
        </w:rPr>
        <w:t xml:space="preserve">2 </w:t>
      </w:r>
      <w:r>
        <w:rPr>
          <w:rFonts w:hint="eastAsia" w:cs="黑体" w:asciiTheme="minorEastAsia" w:hAnsiTheme="minorEastAsia"/>
          <w:sz w:val="21"/>
          <w:szCs w:val="21"/>
        </w:rPr>
        <w:t>代理商应提供制造商出具的授权。同一品牌的制造商与授权代理商同时参与同一标段投标的，授权代理商投标将被否决；两家及以上授权代理商同时参与同一标段的投标，所有授权代理商投标将被否决。</w:t>
      </w:r>
    </w:p>
    <w:p>
      <w:pPr>
        <w:widowControl w:val="0"/>
        <w:autoSpaceDE w:val="0"/>
        <w:autoSpaceDN w:val="0"/>
        <w:adjustRightInd w:val="0"/>
        <w:spacing w:line="500" w:lineRule="exact"/>
        <w:ind w:firstLine="420" w:firstLineChars="200"/>
        <w:rPr>
          <w:rFonts w:hint="eastAsia" w:cs="宋体" w:asciiTheme="minorEastAsia" w:hAnsiTheme="minorEastAsia"/>
        </w:rPr>
      </w:pPr>
      <w:r>
        <w:rPr>
          <w:rFonts w:hint="eastAsia" w:cs="黑体" w:asciiTheme="minorEastAsia" w:hAnsiTheme="minorEastAsia"/>
          <w:sz w:val="21"/>
          <w:szCs w:val="21"/>
        </w:rPr>
        <w:t xml:space="preserve">3.3 </w:t>
      </w:r>
      <w:r>
        <w:rPr>
          <w:rFonts w:hint="eastAsia" w:cs="黑体" w:asciiTheme="minorEastAsia" w:hAnsiTheme="minorEastAsia"/>
          <w:sz w:val="21"/>
          <w:szCs w:val="21"/>
          <w:lang w:eastAsia="zh-CN"/>
        </w:rPr>
        <w:t>提供制造商的</w:t>
      </w:r>
      <w:r>
        <w:rPr>
          <w:rFonts w:hint="eastAsia" w:cs="黑体" w:asciiTheme="minorEastAsia" w:hAnsiTheme="minorEastAsia"/>
          <w:sz w:val="21"/>
          <w:szCs w:val="21"/>
        </w:rPr>
        <w:t>GB/T19001或ISO9001</w:t>
      </w:r>
      <w:r>
        <w:rPr>
          <w:rFonts w:hint="eastAsia" w:cs="黑体" w:asciiTheme="minorEastAsia" w:hAnsiTheme="minorEastAsia"/>
          <w:sz w:val="21"/>
          <w:szCs w:val="21"/>
          <w:lang w:eastAsia="zh-CN"/>
        </w:rPr>
        <w:t>质量</w:t>
      </w:r>
      <w:r>
        <w:rPr>
          <w:rFonts w:hint="eastAsia" w:cs="黑体" w:asciiTheme="minorEastAsia" w:hAnsiTheme="minorEastAsia"/>
          <w:sz w:val="21"/>
          <w:szCs w:val="21"/>
        </w:rPr>
        <w:t>体系认证证书</w:t>
      </w:r>
      <w:r>
        <w:rPr>
          <w:rFonts w:hint="eastAsia" w:cs="宋体" w:asciiTheme="minorEastAsia" w:hAnsiTheme="minorEastAsia"/>
        </w:rPr>
        <w:t>。</w:t>
      </w:r>
    </w:p>
    <w:p>
      <w:pPr>
        <w:widowControl w:val="0"/>
        <w:autoSpaceDE w:val="0"/>
        <w:autoSpaceDN w:val="0"/>
        <w:adjustRightInd w:val="0"/>
        <w:spacing w:line="500" w:lineRule="exact"/>
        <w:ind w:firstLine="420" w:firstLineChars="200"/>
        <w:rPr>
          <w:rFonts w:hint="eastAsia" w:cs="宋体" w:asciiTheme="minorEastAsia" w:hAnsiTheme="minorEastAsia"/>
        </w:rPr>
      </w:pPr>
      <w:r>
        <w:rPr>
          <w:rFonts w:hint="eastAsia" w:cs="黑体" w:asciiTheme="minorEastAsia" w:hAnsiTheme="minorEastAsia"/>
          <w:sz w:val="21"/>
          <w:szCs w:val="21"/>
        </w:rPr>
        <w:t>3.</w:t>
      </w:r>
      <w:r>
        <w:rPr>
          <w:rFonts w:hint="eastAsia" w:cs="黑体" w:asciiTheme="minorEastAsia" w:hAnsiTheme="minorEastAsia"/>
          <w:sz w:val="21"/>
          <w:szCs w:val="21"/>
          <w:lang w:val="en-US" w:eastAsia="zh-CN"/>
        </w:rPr>
        <w:t>4</w:t>
      </w:r>
      <w:r>
        <w:rPr>
          <w:rFonts w:hint="eastAsia" w:cs="黑体" w:asciiTheme="minorEastAsia" w:hAnsiTheme="minorEastAsia"/>
          <w:sz w:val="21"/>
          <w:szCs w:val="21"/>
        </w:rPr>
        <w:t xml:space="preserve"> </w:t>
      </w:r>
      <w:r>
        <w:rPr>
          <w:rFonts w:hint="eastAsia" w:cs="黑体" w:asciiTheme="minorEastAsia" w:hAnsiTheme="minorEastAsia"/>
          <w:sz w:val="21"/>
          <w:szCs w:val="21"/>
          <w:lang w:val="zh-CN"/>
        </w:rPr>
        <w:t>投标人须提供标的物的化学品安全说明书（MSDS）</w:t>
      </w:r>
      <w:r>
        <w:rPr>
          <w:rFonts w:hint="eastAsia" w:cs="宋体" w:asciiTheme="minorEastAsia" w:hAnsiTheme="minorEastAsia"/>
        </w:rPr>
        <w:t>。</w:t>
      </w:r>
    </w:p>
    <w:p>
      <w:pPr>
        <w:widowControl w:val="0"/>
        <w:autoSpaceDE w:val="0"/>
        <w:autoSpaceDN w:val="0"/>
        <w:adjustRightInd w:val="0"/>
        <w:spacing w:line="500" w:lineRule="exact"/>
        <w:ind w:firstLine="420" w:firstLineChars="200"/>
        <w:rPr>
          <w:rFonts w:hint="eastAsia" w:cs="宋体" w:asciiTheme="minorEastAsia" w:hAnsiTheme="minorEastAsia"/>
        </w:rPr>
      </w:pPr>
      <w:r>
        <w:rPr>
          <w:rFonts w:hint="eastAsia" w:cs="黑体" w:asciiTheme="minorEastAsia" w:hAnsiTheme="minorEastAsia"/>
          <w:sz w:val="21"/>
          <w:szCs w:val="21"/>
        </w:rPr>
        <w:t>3.</w:t>
      </w:r>
      <w:r>
        <w:rPr>
          <w:rFonts w:hint="eastAsia" w:cs="黑体" w:asciiTheme="minorEastAsia" w:hAnsiTheme="minorEastAsia"/>
          <w:sz w:val="21"/>
          <w:szCs w:val="21"/>
          <w:lang w:val="en-US" w:eastAsia="zh-CN"/>
        </w:rPr>
        <w:t>5</w:t>
      </w:r>
      <w:r>
        <w:rPr>
          <w:rFonts w:hint="eastAsia" w:cs="黑体" w:asciiTheme="minorEastAsia" w:hAnsiTheme="minorEastAsia"/>
          <w:sz w:val="21"/>
          <w:szCs w:val="21"/>
        </w:rPr>
        <w:t xml:space="preserve"> </w:t>
      </w:r>
      <w:r>
        <w:rPr>
          <w:rFonts w:hint="eastAsia" w:ascii="宋体" w:hAnsi="宋体" w:cs="方正黑体简体"/>
          <w:szCs w:val="21"/>
          <w:lang w:val="zh-CN"/>
        </w:rPr>
        <w:t>投标人须提供标的物</w:t>
      </w:r>
      <w:r>
        <w:rPr>
          <w:rFonts w:hint="eastAsia" w:ascii="宋体" w:hAnsi="宋体"/>
          <w:szCs w:val="21"/>
        </w:rPr>
        <w:t>具有</w:t>
      </w:r>
      <w:r>
        <w:rPr>
          <w:rFonts w:hint="eastAsia" w:ascii="宋体" w:hAnsi="宋体" w:cs="方正黑体简体"/>
          <w:szCs w:val="21"/>
          <w:lang w:val="zh-CN"/>
        </w:rPr>
        <w:t>国家认可的</w:t>
      </w:r>
      <w:r>
        <w:rPr>
          <w:rFonts w:hint="eastAsia" w:ascii="宋体" w:hAnsi="宋体"/>
          <w:szCs w:val="21"/>
        </w:rPr>
        <w:t>CMA或CNAS检验资质的第三方质量检测机构检测</w:t>
      </w:r>
      <w:r>
        <w:rPr>
          <w:rFonts w:hint="eastAsia" w:ascii="宋体" w:hAnsi="宋体" w:cs="方正黑体简体"/>
          <w:szCs w:val="21"/>
          <w:lang w:val="zh-CN"/>
        </w:rPr>
        <w:t>的报告</w:t>
      </w:r>
      <w:r>
        <w:rPr>
          <w:rFonts w:hint="eastAsia" w:cs="宋体" w:asciiTheme="minorEastAsia" w:hAnsiTheme="minorEastAsia"/>
        </w:rPr>
        <w:t>。</w:t>
      </w:r>
    </w:p>
    <w:p>
      <w:pPr>
        <w:widowControl w:val="0"/>
        <w:autoSpaceDE w:val="0"/>
        <w:autoSpaceDN w:val="0"/>
        <w:adjustRightInd w:val="0"/>
        <w:spacing w:line="500" w:lineRule="exact"/>
        <w:ind w:firstLine="420" w:firstLineChars="200"/>
        <w:rPr>
          <w:rFonts w:hint="eastAsia" w:cs="宋体" w:asciiTheme="minorEastAsia" w:hAnsiTheme="minorEastAsia"/>
        </w:rPr>
      </w:pPr>
      <w:r>
        <w:rPr>
          <w:rFonts w:hint="eastAsia" w:cs="黑体" w:asciiTheme="minorEastAsia" w:hAnsiTheme="minorEastAsia"/>
          <w:sz w:val="21"/>
          <w:szCs w:val="21"/>
        </w:rPr>
        <w:t>3.</w:t>
      </w:r>
      <w:r>
        <w:rPr>
          <w:rFonts w:hint="eastAsia" w:cs="黑体" w:asciiTheme="minorEastAsia" w:hAnsiTheme="minorEastAsia"/>
          <w:sz w:val="21"/>
          <w:szCs w:val="21"/>
          <w:lang w:val="en-US" w:eastAsia="zh-CN"/>
        </w:rPr>
        <w:t>6</w:t>
      </w:r>
      <w:r>
        <w:rPr>
          <w:rFonts w:hint="eastAsia" w:cs="黑体" w:asciiTheme="minorEastAsia" w:hAnsiTheme="minorEastAsia"/>
          <w:sz w:val="21"/>
          <w:szCs w:val="21"/>
        </w:rPr>
        <w:t xml:space="preserve"> </w:t>
      </w:r>
      <w:r>
        <w:rPr>
          <w:rFonts w:hint="eastAsia" w:ascii="宋体" w:hAnsi="宋体" w:cs="宋体"/>
          <w:bCs/>
          <w:lang w:val="zh-CN"/>
        </w:rPr>
        <w:t>投标人</w:t>
      </w:r>
      <w:r>
        <w:rPr>
          <w:rFonts w:ascii="宋体" w:hAnsi="宋体" w:cs="宋体"/>
          <w:bCs/>
          <w:lang w:val="zh-CN"/>
        </w:rPr>
        <w:t>提供产品应满足</w:t>
      </w:r>
      <w:r>
        <w:rPr>
          <w:rFonts w:hint="eastAsia" w:ascii="宋体" w:hAnsi="宋体" w:cs="宋体"/>
          <w:bCs/>
          <w:lang w:val="zh-CN"/>
        </w:rPr>
        <w:t>技术要求中带</w:t>
      </w:r>
      <w:r>
        <w:rPr>
          <w:rFonts w:hint="eastAsia" w:ascii="宋体" w:hAnsi="宋体" w:cs="宋体"/>
          <w:bCs/>
          <w:lang w:val="en-US" w:eastAsia="zh-CN"/>
        </w:rPr>
        <w:t>*号</w:t>
      </w:r>
      <w:r>
        <w:rPr>
          <w:rFonts w:ascii="宋体" w:hAnsi="宋体" w:cs="宋体"/>
          <w:bCs/>
          <w:lang w:val="zh-CN"/>
        </w:rPr>
        <w:t>条款</w:t>
      </w:r>
      <w:r>
        <w:rPr>
          <w:rFonts w:hint="eastAsia" w:ascii="宋体" w:hAnsi="宋体" w:cs="宋体"/>
          <w:bCs/>
          <w:lang w:val="zh-CN"/>
        </w:rPr>
        <w:t>，否则其投标将被否决</w:t>
      </w:r>
      <w:r>
        <w:rPr>
          <w:rFonts w:hint="eastAsia" w:cs="宋体" w:asciiTheme="minorEastAsia" w:hAnsiTheme="minorEastAsia"/>
        </w:rPr>
        <w:t>。</w:t>
      </w:r>
    </w:p>
    <w:p>
      <w:pPr>
        <w:widowControl w:val="0"/>
        <w:autoSpaceDE w:val="0"/>
        <w:autoSpaceDN w:val="0"/>
        <w:adjustRightInd w:val="0"/>
        <w:spacing w:line="500" w:lineRule="exact"/>
        <w:ind w:firstLine="420" w:firstLineChars="200"/>
        <w:rPr>
          <w:rFonts w:hint="eastAsia" w:cs="宋体" w:asciiTheme="minorEastAsia" w:hAnsiTheme="minorEastAsia"/>
        </w:rPr>
      </w:pPr>
      <w:r>
        <w:rPr>
          <w:rFonts w:hint="eastAsia" w:cs="黑体" w:asciiTheme="minorEastAsia" w:hAnsiTheme="minorEastAsia"/>
          <w:sz w:val="21"/>
          <w:szCs w:val="21"/>
        </w:rPr>
        <w:t>3.</w:t>
      </w:r>
      <w:r>
        <w:rPr>
          <w:rFonts w:hint="eastAsia" w:cs="黑体" w:asciiTheme="minorEastAsia" w:hAnsiTheme="minorEastAsia"/>
          <w:sz w:val="21"/>
          <w:szCs w:val="21"/>
          <w:lang w:val="en-US" w:eastAsia="zh-CN"/>
        </w:rPr>
        <w:t>7</w:t>
      </w:r>
      <w:r>
        <w:rPr>
          <w:rFonts w:hint="eastAsia" w:cs="黑体" w:asciiTheme="minorEastAsia" w:hAnsiTheme="minorEastAsia"/>
          <w:sz w:val="21"/>
          <w:szCs w:val="21"/>
        </w:rPr>
        <w:t xml:space="preserve"> 投标人必须提供</w:t>
      </w:r>
      <w:r>
        <w:rPr>
          <w:rFonts w:hint="eastAsia" w:cs="黑体" w:asciiTheme="minorEastAsia" w:hAnsiTheme="minorEastAsia"/>
          <w:b/>
          <w:sz w:val="21"/>
          <w:szCs w:val="21"/>
        </w:rPr>
        <w:t>2019年度</w:t>
      </w:r>
      <w:r>
        <w:rPr>
          <w:rFonts w:hint="eastAsia" w:cs="黑体" w:asciiTheme="minorEastAsia" w:hAnsiTheme="minorEastAsia"/>
          <w:sz w:val="21"/>
          <w:szCs w:val="21"/>
        </w:rPr>
        <w:t>有效</w:t>
      </w:r>
      <w:r>
        <w:rPr>
          <w:rFonts w:cs="黑体" w:asciiTheme="minorEastAsia" w:hAnsiTheme="minorEastAsia"/>
          <w:sz w:val="21"/>
          <w:szCs w:val="21"/>
        </w:rPr>
        <w:t>的</w:t>
      </w:r>
      <w:r>
        <w:rPr>
          <w:rFonts w:hint="eastAsia" w:cs="黑体" w:asciiTheme="minorEastAsia" w:hAnsiTheme="minorEastAsia"/>
          <w:sz w:val="21"/>
          <w:szCs w:val="21"/>
        </w:rPr>
        <w:t>经注册会计师事务所审计财务报表（有效是指</w:t>
      </w:r>
      <w:r>
        <w:rPr>
          <w:rFonts w:cs="黑体" w:asciiTheme="minorEastAsia" w:hAnsiTheme="minorEastAsia"/>
          <w:sz w:val="21"/>
          <w:szCs w:val="21"/>
        </w:rPr>
        <w:t>：</w:t>
      </w:r>
      <w:r>
        <w:rPr>
          <w:rFonts w:hint="eastAsia" w:cs="黑体" w:asciiTheme="minorEastAsia" w:hAnsiTheme="minorEastAsia"/>
          <w:b/>
          <w:sz w:val="21"/>
          <w:szCs w:val="21"/>
        </w:rPr>
        <w:t>审计报告</w:t>
      </w:r>
      <w:r>
        <w:rPr>
          <w:rFonts w:hint="eastAsia" w:cs="宋体" w:asciiTheme="minorEastAsia" w:hAnsiTheme="minorEastAsia"/>
          <w:b/>
          <w:sz w:val="21"/>
        </w:rPr>
        <w:t>应当有注册会计师的签名和盖章，会计师事务所的名称、地址及盖章，</w:t>
      </w:r>
      <w:r>
        <w:rPr>
          <w:rFonts w:cs="宋体" w:asciiTheme="minorEastAsia" w:hAnsiTheme="minorEastAsia"/>
          <w:b/>
          <w:sz w:val="21"/>
        </w:rPr>
        <w:t>财务</w:t>
      </w:r>
      <w:r>
        <w:rPr>
          <w:rFonts w:hint="eastAsia" w:cs="宋体" w:asciiTheme="minorEastAsia" w:hAnsiTheme="minorEastAsia"/>
          <w:b/>
          <w:sz w:val="21"/>
        </w:rPr>
        <w:t>报</w:t>
      </w:r>
      <w:r>
        <w:rPr>
          <w:rFonts w:cs="宋体" w:asciiTheme="minorEastAsia" w:hAnsiTheme="minorEastAsia"/>
          <w:b/>
          <w:sz w:val="21"/>
        </w:rPr>
        <w:t>表包括：资产负债表、利润表</w:t>
      </w:r>
      <w:r>
        <w:rPr>
          <w:rFonts w:hint="eastAsia" w:cs="宋体" w:asciiTheme="minorEastAsia" w:hAnsiTheme="minorEastAsia"/>
          <w:b/>
          <w:sz w:val="21"/>
        </w:rPr>
        <w:t>或称</w:t>
      </w:r>
      <w:r>
        <w:rPr>
          <w:rFonts w:cs="宋体" w:asciiTheme="minorEastAsia" w:hAnsiTheme="minorEastAsia"/>
          <w:b/>
          <w:sz w:val="21"/>
        </w:rPr>
        <w:t>损益表、</w:t>
      </w:r>
      <w:r>
        <w:rPr>
          <w:rFonts w:hint="eastAsia" w:cs="宋体" w:asciiTheme="minorEastAsia" w:hAnsiTheme="minorEastAsia"/>
          <w:b/>
          <w:sz w:val="21"/>
        </w:rPr>
        <w:t>现金</w:t>
      </w:r>
      <w:r>
        <w:rPr>
          <w:rFonts w:cs="宋体" w:asciiTheme="minorEastAsia" w:hAnsiTheme="minorEastAsia"/>
          <w:b/>
          <w:sz w:val="21"/>
        </w:rPr>
        <w:t>流量表</w:t>
      </w:r>
      <w:r>
        <w:rPr>
          <w:rFonts w:hint="eastAsia" w:cs="宋体" w:asciiTheme="minorEastAsia" w:hAnsiTheme="minorEastAsia"/>
          <w:b/>
          <w:sz w:val="21"/>
          <w:highlight w:val="yellow"/>
        </w:rPr>
        <w:t>及附注</w:t>
      </w:r>
      <w:r>
        <w:rPr>
          <w:rFonts w:hint="eastAsia" w:cs="宋体" w:asciiTheme="minorEastAsia" w:hAnsiTheme="minorEastAsia"/>
        </w:rPr>
        <w:t>）。</w:t>
      </w:r>
    </w:p>
    <w:p>
      <w:pPr>
        <w:widowControl w:val="0"/>
        <w:autoSpaceDE w:val="0"/>
        <w:autoSpaceDN w:val="0"/>
        <w:adjustRightInd w:val="0"/>
        <w:spacing w:line="500" w:lineRule="exact"/>
        <w:ind w:firstLine="405"/>
        <w:rPr>
          <w:rFonts w:cs="黑体" w:asciiTheme="minorEastAsia" w:hAnsiTheme="minorEastAsia"/>
          <w:sz w:val="21"/>
          <w:szCs w:val="21"/>
        </w:rPr>
      </w:pPr>
      <w:r>
        <w:rPr>
          <w:rFonts w:hint="eastAsia" w:cs="黑体" w:asciiTheme="minorEastAsia" w:hAnsiTheme="minorEastAsia"/>
          <w:sz w:val="21"/>
          <w:szCs w:val="21"/>
        </w:rPr>
        <w:t>3.</w:t>
      </w:r>
      <w:r>
        <w:rPr>
          <w:rFonts w:hint="eastAsia" w:cs="黑体" w:asciiTheme="minorEastAsia" w:hAnsiTheme="minorEastAsia"/>
          <w:sz w:val="21"/>
          <w:szCs w:val="21"/>
          <w:lang w:val="en-US" w:eastAsia="zh-CN"/>
        </w:rPr>
        <w:t>8</w:t>
      </w:r>
      <w:r>
        <w:rPr>
          <w:rFonts w:hint="eastAsia" w:cs="黑体" w:asciiTheme="minorEastAsia" w:hAnsiTheme="minorEastAsia"/>
          <w:sz w:val="21"/>
          <w:szCs w:val="21"/>
        </w:rPr>
        <w:t xml:space="preserve"> 《中国石油天然气集团有限公司采购产品质量监督抽查情况通报》中被处罚的投标人投标将被否决（复查</w:t>
      </w:r>
      <w:r>
        <w:rPr>
          <w:rFonts w:cs="黑体" w:asciiTheme="minorEastAsia" w:hAnsiTheme="minorEastAsia"/>
          <w:sz w:val="21"/>
          <w:szCs w:val="21"/>
        </w:rPr>
        <w:t>合格的除外</w:t>
      </w:r>
      <w:r>
        <w:rPr>
          <w:rFonts w:hint="eastAsia" w:cs="黑体" w:asciiTheme="minorEastAsia" w:hAnsiTheme="minorEastAsia"/>
          <w:sz w:val="21"/>
          <w:szCs w:val="21"/>
        </w:rPr>
        <w:t>）。</w:t>
      </w:r>
    </w:p>
    <w:p>
      <w:pPr>
        <w:widowControl w:val="0"/>
        <w:autoSpaceDE w:val="0"/>
        <w:autoSpaceDN w:val="0"/>
        <w:adjustRightInd w:val="0"/>
        <w:spacing w:line="500" w:lineRule="exact"/>
        <w:ind w:firstLine="405"/>
        <w:rPr>
          <w:rFonts w:cs="黑体" w:asciiTheme="minorEastAsia" w:hAnsiTheme="minorEastAsia"/>
          <w:sz w:val="21"/>
          <w:szCs w:val="21"/>
        </w:rPr>
      </w:pPr>
      <w:r>
        <w:rPr>
          <w:rFonts w:hint="eastAsia" w:cs="黑体" w:asciiTheme="minorEastAsia" w:hAnsiTheme="minorEastAsia"/>
          <w:sz w:val="21"/>
          <w:szCs w:val="21"/>
        </w:rPr>
        <w:t>3.</w:t>
      </w:r>
      <w:r>
        <w:rPr>
          <w:rFonts w:hint="eastAsia" w:cs="黑体" w:asciiTheme="minorEastAsia" w:hAnsiTheme="minorEastAsia"/>
          <w:sz w:val="21"/>
          <w:szCs w:val="21"/>
          <w:lang w:val="en-US" w:eastAsia="zh-CN"/>
        </w:rPr>
        <w:t>9</w:t>
      </w:r>
      <w:r>
        <w:rPr>
          <w:rFonts w:hint="eastAsia" w:cs="黑体" w:asciiTheme="minorEastAsia" w:hAnsiTheme="minorEastAsia"/>
          <w:sz w:val="21"/>
          <w:szCs w:val="21"/>
        </w:rPr>
        <w:t xml:space="preserve"> 投标人被工商行政管理机关在全国企业信用信息公示系统中列入严重违法失信企业名单或被最高人民法院在“信用中国”网站（www.creditchina.gov.cn）或各级信用信息共享平台中列入失信被执行人名单的投标将被否决。</w:t>
      </w:r>
    </w:p>
    <w:p>
      <w:pPr>
        <w:widowControl w:val="0"/>
        <w:autoSpaceDE w:val="0"/>
        <w:autoSpaceDN w:val="0"/>
        <w:adjustRightInd w:val="0"/>
        <w:spacing w:line="500" w:lineRule="exact"/>
        <w:ind w:firstLine="405"/>
        <w:rPr>
          <w:rFonts w:cs="宋体" w:asciiTheme="minorEastAsia" w:hAnsiTheme="minorEastAsia"/>
          <w:sz w:val="21"/>
          <w:szCs w:val="21"/>
        </w:rPr>
      </w:pPr>
      <w:r>
        <w:rPr>
          <w:rFonts w:hint="eastAsia" w:cs="黑体" w:asciiTheme="minorEastAsia" w:hAnsiTheme="minorEastAsia"/>
          <w:sz w:val="21"/>
          <w:szCs w:val="21"/>
        </w:rPr>
        <w:t>3.</w:t>
      </w:r>
      <w:r>
        <w:rPr>
          <w:rFonts w:hint="eastAsia" w:cs="黑体" w:asciiTheme="minorEastAsia" w:hAnsiTheme="minorEastAsia"/>
          <w:sz w:val="21"/>
          <w:szCs w:val="21"/>
          <w:lang w:val="en-US" w:eastAsia="zh-CN"/>
        </w:rPr>
        <w:t>10</w:t>
      </w:r>
      <w:r>
        <w:rPr>
          <w:rFonts w:hint="eastAsia" w:cs="黑体" w:asciiTheme="minorEastAsia" w:hAnsiTheme="minorEastAsia"/>
          <w:sz w:val="21"/>
          <w:szCs w:val="21"/>
        </w:rPr>
        <w:t xml:space="preserve"> </w:t>
      </w:r>
      <w:r>
        <w:rPr>
          <w:rFonts w:cs="宋体" w:asciiTheme="minorEastAsia" w:hAnsiTheme="minorEastAsia"/>
          <w:sz w:val="21"/>
          <w:szCs w:val="21"/>
        </w:rPr>
        <w:t>本次招标不接受联合体投标。</w:t>
      </w:r>
    </w:p>
    <w:p>
      <w:pPr>
        <w:pStyle w:val="5"/>
        <w:spacing w:line="520" w:lineRule="exact"/>
        <w:jc w:val="left"/>
        <w:outlineLvl w:val="1"/>
        <w:rPr>
          <w:rFonts w:cs="Times New Roman" w:asciiTheme="minorEastAsia" w:hAnsiTheme="minorEastAsia" w:eastAsiaTheme="minorEastAsia"/>
          <w:sz w:val="28"/>
          <w:szCs w:val="28"/>
        </w:rPr>
      </w:pPr>
      <w:r>
        <w:rPr>
          <w:rFonts w:cs="Times New Roman" w:asciiTheme="minorEastAsia" w:hAnsiTheme="minorEastAsia" w:eastAsiaTheme="minorEastAsia"/>
          <w:sz w:val="28"/>
          <w:szCs w:val="28"/>
        </w:rPr>
        <w:t>4. 招标文件的获取</w:t>
      </w:r>
      <w:bookmarkEnd w:id="3"/>
    </w:p>
    <w:p>
      <w:pPr>
        <w:widowControl w:val="0"/>
        <w:autoSpaceDE w:val="0"/>
        <w:autoSpaceDN w:val="0"/>
        <w:adjustRightInd w:val="0"/>
        <w:spacing w:line="520" w:lineRule="exact"/>
        <w:ind w:firstLine="420" w:firstLineChars="200"/>
        <w:rPr>
          <w:rFonts w:ascii="宋体" w:cs="Times New Roman"/>
          <w:sz w:val="21"/>
          <w:szCs w:val="21"/>
        </w:rPr>
      </w:pPr>
      <w:r>
        <w:rPr>
          <w:rFonts w:ascii="宋体" w:hAnsi="宋体" w:cs="宋体"/>
          <w:sz w:val="21"/>
          <w:szCs w:val="21"/>
        </w:rPr>
        <w:t>4.1</w:t>
      </w:r>
      <w:r>
        <w:rPr>
          <w:rFonts w:hint="eastAsia" w:ascii="宋体" w:hAnsi="宋体" w:cs="宋体"/>
          <w:sz w:val="21"/>
          <w:szCs w:val="21"/>
        </w:rPr>
        <w:t>凡有意参加投标者，</w:t>
      </w:r>
      <w:r>
        <w:rPr>
          <w:rFonts w:ascii="宋体" w:hAnsi="宋体" w:cs="宋体"/>
          <w:sz w:val="21"/>
          <w:szCs w:val="21"/>
        </w:rPr>
        <w:t>请于</w:t>
      </w:r>
      <w:r>
        <w:rPr>
          <w:rFonts w:hint="eastAsia" w:ascii="宋体" w:hAnsi="宋体" w:cs="宋体"/>
          <w:b/>
          <w:bCs/>
          <w:color w:val="0000FF"/>
          <w:sz w:val="21"/>
          <w:szCs w:val="21"/>
        </w:rPr>
        <w:t>2020</w:t>
      </w:r>
      <w:r>
        <w:rPr>
          <w:rFonts w:hint="eastAsia" w:ascii="宋体" w:hAnsi="宋体" w:cs="宋体"/>
          <w:sz w:val="21"/>
          <w:szCs w:val="21"/>
        </w:rPr>
        <w:t>年</w:t>
      </w:r>
      <w:r>
        <w:rPr>
          <w:rFonts w:hint="eastAsia" w:ascii="宋体" w:hAnsi="宋体" w:cs="宋体"/>
          <w:b/>
          <w:bCs/>
          <w:color w:val="0000FF"/>
          <w:sz w:val="21"/>
          <w:szCs w:val="21"/>
          <w:lang w:val="en-US" w:eastAsia="zh-CN"/>
        </w:rPr>
        <w:t>7</w:t>
      </w:r>
      <w:r>
        <w:rPr>
          <w:rFonts w:hint="eastAsia" w:ascii="宋体" w:hAnsi="宋体" w:cs="宋体"/>
          <w:sz w:val="21"/>
          <w:szCs w:val="21"/>
        </w:rPr>
        <w:t>月</w:t>
      </w:r>
      <w:r>
        <w:rPr>
          <w:rFonts w:hint="eastAsia" w:ascii="宋体" w:hAnsi="宋体" w:cs="宋体"/>
          <w:sz w:val="21"/>
          <w:szCs w:val="21"/>
          <w:lang w:val="en-US" w:eastAsia="zh-CN"/>
        </w:rPr>
        <w:t>17</w:t>
      </w:r>
      <w:r>
        <w:rPr>
          <w:rFonts w:hint="eastAsia" w:ascii="宋体" w:hAnsi="宋体" w:cs="宋体"/>
          <w:sz w:val="21"/>
          <w:szCs w:val="21"/>
        </w:rPr>
        <w:t>日</w:t>
      </w:r>
      <w:r>
        <w:rPr>
          <w:rFonts w:ascii="宋体" w:hAnsi="宋体" w:cs="宋体"/>
          <w:sz w:val="21"/>
          <w:szCs w:val="21"/>
        </w:rPr>
        <w:t xml:space="preserve"> 至</w:t>
      </w:r>
      <w:r>
        <w:rPr>
          <w:rFonts w:hint="eastAsia" w:ascii="宋体" w:hAnsi="宋体" w:cs="宋体"/>
          <w:b/>
          <w:bCs/>
          <w:color w:val="0000FF"/>
          <w:sz w:val="21"/>
          <w:szCs w:val="21"/>
        </w:rPr>
        <w:t>2020</w:t>
      </w:r>
      <w:r>
        <w:rPr>
          <w:rFonts w:hint="eastAsia" w:ascii="宋体" w:hAnsi="宋体" w:cs="宋体"/>
          <w:sz w:val="21"/>
          <w:szCs w:val="21"/>
        </w:rPr>
        <w:t>年</w:t>
      </w:r>
      <w:r>
        <w:rPr>
          <w:rFonts w:hint="eastAsia" w:ascii="宋体" w:hAnsi="宋体" w:cs="宋体"/>
          <w:b/>
          <w:bCs/>
          <w:color w:val="0000FF"/>
          <w:sz w:val="21"/>
          <w:szCs w:val="21"/>
          <w:lang w:val="en-US" w:eastAsia="zh-CN"/>
        </w:rPr>
        <w:t>7</w:t>
      </w:r>
      <w:r>
        <w:rPr>
          <w:rFonts w:hint="eastAsia" w:ascii="宋体" w:hAnsi="宋体" w:cs="宋体"/>
          <w:sz w:val="21"/>
          <w:szCs w:val="21"/>
        </w:rPr>
        <w:t>月</w:t>
      </w:r>
      <w:r>
        <w:rPr>
          <w:rFonts w:hint="eastAsia" w:ascii="宋体" w:hAnsi="宋体" w:cs="宋体"/>
          <w:b/>
          <w:bCs/>
          <w:color w:val="0000FF"/>
          <w:sz w:val="21"/>
          <w:szCs w:val="21"/>
          <w:lang w:val="en-US" w:eastAsia="zh-CN"/>
        </w:rPr>
        <w:t>22</w:t>
      </w:r>
      <w:r>
        <w:rPr>
          <w:rFonts w:hint="eastAsia" w:ascii="宋体" w:hAnsi="宋体" w:cs="宋体"/>
          <w:sz w:val="21"/>
          <w:szCs w:val="21"/>
        </w:rPr>
        <w:t>日</w:t>
      </w:r>
      <w:r>
        <w:rPr>
          <w:rFonts w:ascii="宋体" w:hAnsi="宋体" w:cs="宋体"/>
          <w:sz w:val="21"/>
          <w:szCs w:val="21"/>
        </w:rPr>
        <w:t xml:space="preserve"> ，登陆中国石油电子招标投标交易平台（网址：http://ebidmanage.cnpcbidding.com/bidder/ebid/base/login.html） 网上购买招标文件。</w:t>
      </w:r>
    </w:p>
    <w:p>
      <w:pPr>
        <w:widowControl w:val="0"/>
        <w:autoSpaceDE w:val="0"/>
        <w:autoSpaceDN w:val="0"/>
        <w:adjustRightInd w:val="0"/>
        <w:spacing w:line="520" w:lineRule="exact"/>
        <w:ind w:firstLine="420" w:firstLineChars="200"/>
        <w:rPr>
          <w:rFonts w:ascii="宋体" w:hAnsi="宋体" w:cs="Times New Roman"/>
          <w:sz w:val="21"/>
        </w:rPr>
      </w:pPr>
      <w:bookmarkStart w:id="4" w:name="_Toc518554539"/>
      <w:r>
        <w:rPr>
          <w:rFonts w:hint="eastAsia" w:ascii="宋体" w:hAnsi="宋体" w:cs="Times New Roman"/>
          <w:sz w:val="21"/>
        </w:rPr>
        <w:t>如未在中国石油电子招标投标交易平台上注册过的潜在投标人需要先注册并通过平台审核</w:t>
      </w:r>
      <w:r>
        <w:rPr>
          <w:rFonts w:hint="eastAsia" w:hAnsi="宋体"/>
          <w:b/>
          <w:sz w:val="21"/>
          <w:szCs w:val="21"/>
        </w:rPr>
        <w:t>（</w:t>
      </w:r>
      <w:r>
        <w:fldChar w:fldCharType="begin"/>
      </w:r>
      <w:r>
        <w:instrText xml:space="preserve"> HYPERLINK "mailto:潜在投标人在平台注册后向energyahead@cnpc.com.cn" </w:instrText>
      </w:r>
      <w:r>
        <w:fldChar w:fldCharType="separate"/>
      </w:r>
      <w:r>
        <w:rPr>
          <w:rStyle w:val="8"/>
          <w:rFonts w:hint="eastAsia" w:hAnsi="宋体"/>
          <w:b/>
          <w:sz w:val="21"/>
          <w:szCs w:val="21"/>
        </w:rPr>
        <w:t>潜在</w:t>
      </w:r>
      <w:r>
        <w:rPr>
          <w:rStyle w:val="8"/>
          <w:rFonts w:hAnsi="宋体"/>
          <w:b/>
          <w:sz w:val="21"/>
          <w:szCs w:val="21"/>
        </w:rPr>
        <w:t>投标人在平台注册后向energyahead@cnpc.com.cn</w:t>
      </w:r>
      <w:r>
        <w:rPr>
          <w:rStyle w:val="8"/>
          <w:rFonts w:hAnsi="宋体"/>
          <w:b/>
          <w:sz w:val="21"/>
          <w:szCs w:val="21"/>
        </w:rPr>
        <w:fldChar w:fldCharType="end"/>
      </w:r>
      <w:r>
        <w:rPr>
          <w:rFonts w:hint="eastAsia" w:hAnsi="宋体"/>
          <w:b/>
          <w:sz w:val="21"/>
          <w:szCs w:val="21"/>
        </w:rPr>
        <w:t>发送加盖公司</w:t>
      </w:r>
      <w:r>
        <w:rPr>
          <w:rFonts w:hAnsi="宋体"/>
          <w:b/>
          <w:sz w:val="21"/>
          <w:szCs w:val="21"/>
        </w:rPr>
        <w:t>公章的</w:t>
      </w:r>
      <w:r>
        <w:rPr>
          <w:rFonts w:hint="eastAsia" w:hAnsi="宋体"/>
          <w:b/>
          <w:sz w:val="21"/>
          <w:szCs w:val="21"/>
        </w:rPr>
        <w:t>《审核通过</w:t>
      </w:r>
      <w:r>
        <w:rPr>
          <w:rFonts w:hAnsi="宋体"/>
          <w:b/>
          <w:sz w:val="21"/>
          <w:szCs w:val="21"/>
        </w:rPr>
        <w:t>申请</w:t>
      </w:r>
      <w:r>
        <w:rPr>
          <w:rFonts w:hint="eastAsia" w:hAnsi="宋体"/>
          <w:b/>
          <w:sz w:val="21"/>
          <w:szCs w:val="21"/>
        </w:rPr>
        <w:t>》扫描件，</w:t>
      </w:r>
      <w:r>
        <w:rPr>
          <w:rFonts w:hAnsi="宋体"/>
          <w:b/>
          <w:sz w:val="21"/>
          <w:szCs w:val="21"/>
        </w:rPr>
        <w:t>申请内容包括：</w:t>
      </w:r>
      <w:r>
        <w:rPr>
          <w:rFonts w:hint="eastAsia" w:hAnsi="宋体"/>
          <w:b/>
          <w:sz w:val="21"/>
          <w:szCs w:val="21"/>
        </w:rPr>
        <w:t>潜在</w:t>
      </w:r>
      <w:r>
        <w:rPr>
          <w:rFonts w:hAnsi="宋体"/>
          <w:b/>
          <w:sz w:val="21"/>
          <w:szCs w:val="21"/>
        </w:rPr>
        <w:t>投标人名称即公司名称，参与投标项目</w:t>
      </w:r>
      <w:r>
        <w:rPr>
          <w:rFonts w:hint="eastAsia" w:hAnsi="宋体"/>
          <w:b/>
          <w:sz w:val="21"/>
          <w:szCs w:val="21"/>
        </w:rPr>
        <w:t>，报名</w:t>
      </w:r>
      <w:r>
        <w:rPr>
          <w:rFonts w:hAnsi="宋体"/>
          <w:b/>
          <w:sz w:val="21"/>
          <w:szCs w:val="21"/>
        </w:rPr>
        <w:t>截止时间</w:t>
      </w:r>
      <w:r>
        <w:rPr>
          <w:rFonts w:hint="eastAsia" w:hAnsi="宋体"/>
          <w:b/>
          <w:sz w:val="21"/>
          <w:szCs w:val="21"/>
        </w:rPr>
        <w:t>。平台运维</w:t>
      </w:r>
      <w:r>
        <w:rPr>
          <w:rFonts w:hAnsi="宋体"/>
          <w:b/>
          <w:sz w:val="21"/>
          <w:szCs w:val="21"/>
        </w:rPr>
        <w:t>人员将在收到申请后及时审核通过。</w:t>
      </w:r>
      <w:r>
        <w:rPr>
          <w:rFonts w:hint="eastAsia" w:hAnsi="宋体"/>
          <w:b/>
          <w:sz w:val="21"/>
          <w:szCs w:val="21"/>
        </w:rPr>
        <w:t>）</w:t>
      </w:r>
      <w:r>
        <w:rPr>
          <w:rFonts w:hint="eastAsia" w:ascii="宋体" w:hAnsi="宋体" w:cs="Times New Roman"/>
          <w:sz w:val="21"/>
        </w:rPr>
        <w:t>，审核通过后登录平台在可报名项目中可找到该项目并完成在线报名，</w:t>
      </w:r>
      <w:r>
        <w:rPr>
          <w:rFonts w:ascii="宋体" w:hAnsi="宋体" w:cs="Times New Roman"/>
          <w:sz w:val="21"/>
        </w:rPr>
        <w:t>具体操作请参考</w:t>
      </w:r>
      <w:r>
        <w:rPr>
          <w:rFonts w:hint="eastAsia" w:ascii="宋体" w:hAnsi="宋体" w:cs="Times New Roman"/>
          <w:sz w:val="21"/>
        </w:rPr>
        <w:t>中国石油招标投标网操作指南中</w:t>
      </w:r>
      <w:r>
        <w:rPr>
          <w:rFonts w:ascii="宋体" w:hAnsi="宋体" w:cs="Times New Roman"/>
          <w:sz w:val="21"/>
        </w:rPr>
        <w:t>“投标人</w:t>
      </w:r>
      <w:r>
        <w:rPr>
          <w:rFonts w:hint="eastAsia" w:ascii="宋体" w:hAnsi="宋体" w:cs="Times New Roman"/>
          <w:sz w:val="21"/>
        </w:rPr>
        <w:t>用户</w:t>
      </w:r>
      <w:r>
        <w:rPr>
          <w:rFonts w:ascii="宋体" w:hAnsi="宋体" w:cs="Times New Roman"/>
          <w:sz w:val="21"/>
        </w:rPr>
        <w:t>手册”相关章节，有关交易平台操作的问题请咨询技术支持团队相关人员</w:t>
      </w:r>
      <w:r>
        <w:rPr>
          <w:rFonts w:hint="eastAsia" w:ascii="宋体" w:hAnsi="宋体" w:cs="Times New Roman"/>
          <w:sz w:val="21"/>
        </w:rPr>
        <w:t>，</w:t>
      </w:r>
      <w:r>
        <w:rPr>
          <w:rFonts w:ascii="宋体" w:hAnsi="宋体" w:cs="Times New Roman"/>
          <w:sz w:val="21"/>
        </w:rPr>
        <w:t>咨询电话:4008800114 转 3 转 6）</w:t>
      </w:r>
      <w:r>
        <w:rPr>
          <w:rFonts w:hint="eastAsia" w:ascii="宋体" w:hAnsi="宋体" w:cs="Times New Roman"/>
          <w:sz w:val="21"/>
        </w:rPr>
        <w:t>或</w:t>
      </w:r>
      <w:r>
        <w:rPr>
          <w:rFonts w:ascii="宋体" w:hAnsi="宋体" w:cs="Times New Roman"/>
          <w:sz w:val="21"/>
        </w:rPr>
        <w:t>登录</w:t>
      </w:r>
      <w:r>
        <w:rPr>
          <w:rFonts w:hint="eastAsia" w:ascii="宋体" w:hAnsi="宋体" w:cs="Times New Roman"/>
          <w:b/>
          <w:sz w:val="21"/>
        </w:rPr>
        <w:t>中国石油招标投标网，</w:t>
      </w:r>
      <w:r>
        <w:rPr>
          <w:rFonts w:ascii="宋体" w:hAnsi="宋体" w:cs="Times New Roman"/>
          <w:sz w:val="21"/>
        </w:rPr>
        <w:t>由</w:t>
      </w:r>
      <w:r>
        <w:rPr>
          <w:rFonts w:hint="eastAsia" w:ascii="宋体" w:hAnsi="宋体" w:cs="Times New Roman"/>
          <w:sz w:val="21"/>
        </w:rPr>
        <w:t>左侧点击</w:t>
      </w:r>
      <w:r>
        <w:rPr>
          <w:rFonts w:ascii="宋体" w:hAnsi="宋体" w:cs="Times New Roman"/>
          <w:b/>
          <w:sz w:val="21"/>
        </w:rPr>
        <w:t>“中国石油电子招标投标交易平台”</w:t>
      </w:r>
      <w:r>
        <w:rPr>
          <w:rFonts w:hint="eastAsia" w:ascii="宋体" w:hAnsi="宋体" w:cs="Times New Roman"/>
          <w:b/>
          <w:sz w:val="21"/>
        </w:rPr>
        <w:t>登录</w:t>
      </w:r>
      <w:r>
        <w:rPr>
          <w:rFonts w:ascii="宋体" w:hAnsi="宋体" w:cs="Times New Roman"/>
          <w:b/>
          <w:sz w:val="21"/>
        </w:rPr>
        <w:t>在线报名</w:t>
      </w:r>
      <w:r>
        <w:rPr>
          <w:rFonts w:ascii="宋体" w:hAnsi="宋体" w:cs="Times New Roman"/>
          <w:sz w:val="21"/>
        </w:rPr>
        <w:t>；</w:t>
      </w:r>
    </w:p>
    <w:p>
      <w:pPr>
        <w:pStyle w:val="9"/>
        <w:spacing w:beforeLines="50" w:afterLines="50" w:line="520" w:lineRule="exact"/>
        <w:rPr>
          <w:rFonts w:ascii="宋体" w:hAnsi="宋体"/>
        </w:rPr>
      </w:pPr>
      <w:r>
        <w:rPr>
          <w:rFonts w:ascii="宋体" w:hAnsi="宋体"/>
        </w:rPr>
        <w:t>4</w:t>
      </w:r>
      <w:r>
        <w:rPr>
          <w:rFonts w:hint="eastAsia" w:ascii="宋体" w:hAnsi="宋体"/>
        </w:rPr>
        <w:t>.2招标文件每标段售价为</w:t>
      </w:r>
      <w:r>
        <w:rPr>
          <w:rFonts w:hint="eastAsia" w:ascii="宋体" w:hAnsi="宋体"/>
          <w:b/>
          <w:bCs/>
          <w:color w:val="0000FF"/>
        </w:rPr>
        <w:t>2</w:t>
      </w:r>
      <w:r>
        <w:rPr>
          <w:rFonts w:ascii="宋体" w:hAnsi="宋体"/>
          <w:b/>
          <w:bCs/>
          <w:color w:val="0000FF"/>
        </w:rPr>
        <w:t>00</w:t>
      </w:r>
      <w:r>
        <w:rPr>
          <w:rFonts w:hint="eastAsia" w:ascii="宋体" w:hAnsi="宋体"/>
        </w:rPr>
        <w:t>元人民币，</w:t>
      </w:r>
      <w:r>
        <w:rPr>
          <w:rFonts w:ascii="宋体" w:hAnsi="宋体"/>
        </w:rPr>
        <w:t>文件一经售出概不退款。</w:t>
      </w:r>
      <w:r>
        <w:rPr>
          <w:rFonts w:hint="eastAsia" w:ascii="宋体" w:hAnsi="宋体"/>
        </w:rPr>
        <w:t>请有意参加投标的潜在投标人确认自身资格条件是否满足要求，应自负其责。</w:t>
      </w:r>
    </w:p>
    <w:p>
      <w:pPr>
        <w:pStyle w:val="9"/>
        <w:spacing w:beforeLines="50" w:afterLines="50" w:line="520" w:lineRule="exact"/>
        <w:rPr>
          <w:rFonts w:ascii="宋体" w:hAnsi="宋体"/>
        </w:rPr>
      </w:pPr>
      <w:r>
        <w:rPr>
          <w:rFonts w:ascii="宋体" w:hAnsi="宋体"/>
        </w:rPr>
        <w:t>4</w:t>
      </w:r>
      <w:r>
        <w:rPr>
          <w:rFonts w:hint="eastAsia" w:ascii="宋体" w:hAnsi="宋体"/>
        </w:rPr>
        <w:t>.3</w:t>
      </w:r>
      <w:r>
        <w:rPr>
          <w:rFonts w:ascii="宋体" w:hAnsi="宋体"/>
        </w:rPr>
        <w:t>购买招标文件采用网上支付的模式，系统</w:t>
      </w:r>
      <w:r>
        <w:rPr>
          <w:rFonts w:hint="eastAsia" w:ascii="宋体" w:hAnsi="宋体"/>
        </w:rPr>
        <w:t>仅</w:t>
      </w:r>
      <w:r>
        <w:rPr>
          <w:rFonts w:ascii="宋体" w:hAnsi="宋体"/>
        </w:rPr>
        <w:t>支持个人网银支付（实时到账）</w:t>
      </w:r>
      <w:r>
        <w:rPr>
          <w:rFonts w:hint="eastAsia" w:ascii="宋体" w:hAnsi="宋体"/>
        </w:rPr>
        <w:t>，不支持企业网银支付及其他支付方式</w:t>
      </w:r>
      <w:r>
        <w:rPr>
          <w:rFonts w:ascii="宋体" w:hAnsi="宋体"/>
        </w:rPr>
        <w:t>。详细操作步骤参见中国石油电子招标投标交易平台-工具中心-投标人用户手册。</w:t>
      </w:r>
    </w:p>
    <w:p>
      <w:pPr>
        <w:pStyle w:val="9"/>
        <w:spacing w:beforeLines="50" w:afterLines="50" w:line="520" w:lineRule="exact"/>
        <w:rPr>
          <w:rFonts w:ascii="宋体" w:hAnsi="宋体"/>
        </w:rPr>
      </w:pPr>
      <w:r>
        <w:rPr>
          <w:rFonts w:ascii="宋体" w:hAnsi="宋体"/>
        </w:rPr>
        <w:t>4.4若通过个人账户购买，将被认为购买人已经获得了公司的授权，等同于公司购买，不接受个人名义购买。购买前请核实个人银行卡的网上支付单笔限额不少于招标文件售价，以免影响招标文件的购买。</w:t>
      </w:r>
    </w:p>
    <w:p>
      <w:pPr>
        <w:pStyle w:val="9"/>
        <w:spacing w:beforeLines="50" w:afterLines="50" w:line="520" w:lineRule="exact"/>
        <w:rPr>
          <w:rFonts w:ascii="宋体" w:hAnsi="宋体"/>
        </w:rPr>
      </w:pPr>
      <w:r>
        <w:rPr>
          <w:rFonts w:ascii="宋体" w:hAnsi="宋体"/>
        </w:rPr>
        <w:t>4.5潜在投标人在购买招标文件时，应确认投标人名称、地址、联系人、联系</w:t>
      </w:r>
      <w:r>
        <w:rPr>
          <w:rFonts w:hint="eastAsia" w:ascii="宋体" w:hAnsi="宋体"/>
        </w:rPr>
        <w:t>人电话、联系人邮箱及邮编</w:t>
      </w:r>
      <w:r>
        <w:rPr>
          <w:rFonts w:ascii="宋体" w:hAnsi="宋体"/>
        </w:rPr>
        <w:t>等基本信息准确无误，招投标全流程信息发布和联络以此为准。招标过程中因联络方式有误导致的一切后果由投标人自行承担。</w:t>
      </w:r>
    </w:p>
    <w:p>
      <w:pPr>
        <w:pStyle w:val="9"/>
        <w:spacing w:beforeLines="50" w:afterLines="50" w:line="520" w:lineRule="exact"/>
        <w:rPr>
          <w:rFonts w:ascii="宋体" w:hAnsi="宋体"/>
        </w:rPr>
      </w:pPr>
      <w:r>
        <w:rPr>
          <w:rFonts w:hint="eastAsia" w:ascii="宋体" w:hAnsi="宋体"/>
        </w:rPr>
        <w:t>4.6</w:t>
      </w:r>
      <w:r>
        <w:rPr>
          <w:rFonts w:ascii="宋体" w:hAnsi="宋体"/>
        </w:rPr>
        <w:t>支付成功后，潜在投标人直接从网上下载招标文件电子版。招标机构不再提供任何纸质招标文件。支付成功，即视为招标文件已经售出，文件一经售出概不退款。</w:t>
      </w:r>
    </w:p>
    <w:p>
      <w:pPr>
        <w:pStyle w:val="9"/>
        <w:spacing w:beforeLines="50" w:afterLines="50" w:line="520" w:lineRule="exact"/>
        <w:rPr>
          <w:rFonts w:ascii="宋体" w:hAnsi="宋体"/>
        </w:rPr>
      </w:pPr>
      <w:r>
        <w:rPr>
          <w:rFonts w:ascii="宋体" w:hAnsi="宋体"/>
        </w:rPr>
        <w:t>4.</w:t>
      </w:r>
      <w:r>
        <w:rPr>
          <w:rFonts w:hint="eastAsia" w:ascii="宋体" w:hAnsi="宋体"/>
        </w:rPr>
        <w:t>7</w:t>
      </w:r>
      <w:r>
        <w:rPr>
          <w:rFonts w:ascii="宋体" w:hAnsi="宋体"/>
        </w:rPr>
        <w:t>招标文件购买操作失败或其他系统问题，请与平台运营单位联系。</w:t>
      </w:r>
    </w:p>
    <w:p>
      <w:pPr>
        <w:pStyle w:val="5"/>
        <w:spacing w:line="520" w:lineRule="exact"/>
        <w:jc w:val="left"/>
        <w:outlineLvl w:val="1"/>
        <w:rPr>
          <w:rFonts w:ascii="宋体" w:hAnsi="宋体"/>
          <w:sz w:val="28"/>
          <w:szCs w:val="28"/>
        </w:rPr>
      </w:pPr>
      <w:bookmarkStart w:id="5" w:name="_Toc518554536"/>
      <w:r>
        <w:rPr>
          <w:rFonts w:ascii="宋体" w:hAnsi="宋体"/>
          <w:sz w:val="28"/>
          <w:szCs w:val="28"/>
        </w:rPr>
        <w:t>5. 投标文件的递交</w:t>
      </w:r>
      <w:bookmarkEnd w:id="5"/>
    </w:p>
    <w:p>
      <w:pPr>
        <w:widowControl w:val="0"/>
        <w:autoSpaceDE w:val="0"/>
        <w:autoSpaceDN w:val="0"/>
        <w:adjustRightInd w:val="0"/>
        <w:spacing w:line="520" w:lineRule="exact"/>
        <w:ind w:left="106" w:leftChars="53" w:firstLine="315" w:firstLineChars="150"/>
        <w:rPr>
          <w:rFonts w:ascii="宋体" w:hAnsi="宋体" w:cs="宋体"/>
          <w:sz w:val="21"/>
          <w:szCs w:val="21"/>
        </w:rPr>
      </w:pPr>
      <w:r>
        <w:rPr>
          <w:rFonts w:ascii="宋体" w:hAnsi="宋体" w:cs="Times New Roman"/>
          <w:sz w:val="21"/>
          <w:szCs w:val="21"/>
        </w:rPr>
        <w:t>5.1</w:t>
      </w:r>
      <w:r>
        <w:rPr>
          <w:rFonts w:hint="eastAsia" w:ascii="宋体" w:hAnsi="宋体" w:cs="宋体"/>
          <w:sz w:val="21"/>
          <w:szCs w:val="21"/>
        </w:rPr>
        <w:t>本次招标采取网上电子版提交。不接受纸质版投标文件。</w:t>
      </w:r>
    </w:p>
    <w:p>
      <w:pPr>
        <w:widowControl w:val="0"/>
        <w:autoSpaceDE w:val="0"/>
        <w:autoSpaceDN w:val="0"/>
        <w:adjustRightInd w:val="0"/>
        <w:spacing w:line="520" w:lineRule="exact"/>
        <w:ind w:left="106" w:leftChars="53" w:firstLine="315" w:firstLineChars="150"/>
        <w:rPr>
          <w:rFonts w:ascii="宋体" w:hAnsi="宋体" w:cs="宋体"/>
          <w:sz w:val="21"/>
          <w:szCs w:val="21"/>
        </w:rPr>
      </w:pPr>
      <w:r>
        <w:rPr>
          <w:rFonts w:ascii="宋体" w:hAnsi="宋体" w:cs="宋体"/>
          <w:sz w:val="21"/>
          <w:szCs w:val="21"/>
        </w:rPr>
        <w:t>5.1.1</w:t>
      </w:r>
      <w:r>
        <w:rPr>
          <w:rFonts w:hint="eastAsia" w:ascii="宋体" w:hAnsi="宋体" w:cs="宋体"/>
          <w:sz w:val="21"/>
          <w:szCs w:val="21"/>
        </w:rPr>
        <w:t>提交时间：建议于投标截至时间前24小时通过“中国石油电子招标投标交易平台”提交电子版投标文件；（考虑投标人众多，避免受网速影响，以及网站技术支持的时间，请于投标截至时间前24小时完成网上电子版的提交。）</w:t>
      </w:r>
    </w:p>
    <w:p>
      <w:pPr>
        <w:widowControl w:val="0"/>
        <w:autoSpaceDE w:val="0"/>
        <w:autoSpaceDN w:val="0"/>
        <w:adjustRightInd w:val="0"/>
        <w:spacing w:line="520" w:lineRule="exact"/>
        <w:ind w:left="106" w:leftChars="53" w:firstLine="315" w:firstLineChars="150"/>
        <w:rPr>
          <w:rFonts w:ascii="宋体" w:hAnsi="宋体" w:cs="宋体"/>
          <w:sz w:val="21"/>
          <w:szCs w:val="21"/>
        </w:rPr>
      </w:pPr>
      <w:r>
        <w:rPr>
          <w:rFonts w:hint="eastAsia" w:ascii="宋体" w:hAnsi="宋体" w:cs="宋体"/>
          <w:sz w:val="21"/>
          <w:szCs w:val="21"/>
        </w:rPr>
        <w:t>②投标截至时间见</w:t>
      </w:r>
      <w:r>
        <w:rPr>
          <w:rFonts w:ascii="宋体" w:hAnsi="宋体" w:cs="宋体"/>
          <w:sz w:val="21"/>
          <w:szCs w:val="21"/>
        </w:rPr>
        <w:t>6</w:t>
      </w:r>
      <w:r>
        <w:rPr>
          <w:rFonts w:hint="eastAsia" w:ascii="宋体" w:hAnsi="宋体" w:cs="宋体"/>
          <w:sz w:val="21"/>
          <w:szCs w:val="21"/>
        </w:rPr>
        <w:t>.1，投标截至时间未被系统成功传送的电子版投标文件将不被系统接受，视为主动撤回投标文件。</w:t>
      </w:r>
    </w:p>
    <w:p>
      <w:pPr>
        <w:widowControl w:val="0"/>
        <w:autoSpaceDE w:val="0"/>
        <w:autoSpaceDN w:val="0"/>
        <w:adjustRightInd w:val="0"/>
        <w:spacing w:line="520" w:lineRule="exact"/>
        <w:ind w:left="106" w:leftChars="53" w:firstLine="315" w:firstLineChars="150"/>
        <w:rPr>
          <w:rFonts w:ascii="宋体" w:hAnsi="宋体" w:cs="宋体"/>
          <w:color w:val="FF0000"/>
          <w:sz w:val="21"/>
          <w:szCs w:val="21"/>
        </w:rPr>
      </w:pPr>
      <w:r>
        <w:rPr>
          <w:rFonts w:hint="eastAsia" w:ascii="宋体" w:hAnsi="宋体" w:cs="宋体"/>
          <w:sz w:val="21"/>
          <w:szCs w:val="21"/>
        </w:rPr>
        <w:t>5.2 潜在投标人在提交投标文件时，</w:t>
      </w:r>
      <w:r>
        <w:rPr>
          <w:rFonts w:hint="eastAsia" w:ascii="宋体" w:hAnsi="宋体" w:cs="宋体"/>
          <w:b/>
          <w:sz w:val="21"/>
          <w:szCs w:val="21"/>
          <w:u w:val="single"/>
        </w:rPr>
        <w:t>提交壹万元人民币的投标保证金，</w:t>
      </w:r>
      <w:r>
        <w:rPr>
          <w:rFonts w:ascii="宋体" w:hAnsi="宋体" w:cs="宋体"/>
          <w:sz w:val="21"/>
          <w:szCs w:val="21"/>
        </w:rPr>
        <w:t>投标保证金的形式为</w:t>
      </w:r>
      <w:r>
        <w:rPr>
          <w:rFonts w:hint="eastAsia" w:ascii="宋体" w:hAnsi="宋体" w:cs="宋体"/>
          <w:sz w:val="21"/>
          <w:szCs w:val="21"/>
        </w:rPr>
        <w:t>电汇</w:t>
      </w:r>
      <w:r>
        <w:rPr>
          <w:rFonts w:ascii="宋体" w:hAnsi="宋体" w:cs="宋体"/>
          <w:sz w:val="21"/>
          <w:szCs w:val="21"/>
        </w:rPr>
        <w:t>，应从投标人基本帐户通过企业网银支付向昆仑银行电子招投标保证金专户汇出，昆仑银行将依此</w:t>
      </w:r>
      <w:r>
        <w:rPr>
          <w:rFonts w:ascii="宋体" w:hAnsi="宋体"/>
          <w:sz w:val="21"/>
        </w:rPr>
        <w:t>向</w:t>
      </w:r>
      <w:r>
        <w:rPr>
          <w:rFonts w:hint="eastAsia" w:ascii="宋体" w:hAnsi="宋体" w:cs="宋体"/>
          <w:sz w:val="21"/>
          <w:szCs w:val="21"/>
        </w:rPr>
        <w:t>中国石油物资有限公司西安分公司</w:t>
      </w:r>
      <w:r>
        <w:rPr>
          <w:rFonts w:ascii="宋体" w:hAnsi="宋体"/>
          <w:sz w:val="21"/>
        </w:rPr>
        <w:t>提供投标保证金递交明细。详细操作步骤参见中国石油电子招标投标交易平台-工具中心-投标人用户手册</w:t>
      </w:r>
      <w:r>
        <w:rPr>
          <w:rFonts w:hint="eastAsia" w:ascii="宋体" w:hAnsi="宋体"/>
          <w:sz w:val="21"/>
        </w:rPr>
        <w:t>-中国石油电子招标投标交易平台投标保证金操作指南。</w:t>
      </w:r>
    </w:p>
    <w:p>
      <w:pPr>
        <w:pStyle w:val="5"/>
        <w:spacing w:line="520" w:lineRule="exact"/>
        <w:jc w:val="left"/>
        <w:outlineLvl w:val="1"/>
        <w:rPr>
          <w:rFonts w:ascii="宋体" w:hAnsi="宋体"/>
          <w:sz w:val="28"/>
          <w:szCs w:val="28"/>
        </w:rPr>
      </w:pPr>
      <w:bookmarkStart w:id="6" w:name="_Toc518554537"/>
      <w:r>
        <w:rPr>
          <w:rFonts w:hint="eastAsia" w:ascii="宋体" w:hAnsi="宋体"/>
          <w:sz w:val="28"/>
          <w:szCs w:val="28"/>
        </w:rPr>
        <w:t>6. 开标</w:t>
      </w:r>
      <w:bookmarkEnd w:id="6"/>
    </w:p>
    <w:p>
      <w:pPr>
        <w:widowControl w:val="0"/>
        <w:autoSpaceDE w:val="0"/>
        <w:autoSpaceDN w:val="0"/>
        <w:adjustRightInd w:val="0"/>
        <w:spacing w:line="520" w:lineRule="exact"/>
        <w:ind w:firstLine="420" w:firstLineChars="200"/>
        <w:rPr>
          <w:rFonts w:ascii="宋体" w:hAnsi="宋体" w:cs="Times New Roman"/>
          <w:bCs/>
          <w:sz w:val="21"/>
          <w:szCs w:val="21"/>
        </w:rPr>
      </w:pPr>
      <w:r>
        <w:rPr>
          <w:rFonts w:hint="eastAsia" w:ascii="宋体" w:hAnsi="宋体" w:cs="Times New Roman"/>
          <w:bCs/>
          <w:sz w:val="21"/>
          <w:szCs w:val="21"/>
        </w:rPr>
        <w:t>6.1 投标截止时间和开标时间（网上开标）：</w:t>
      </w:r>
      <w:r>
        <w:rPr>
          <w:rFonts w:hint="eastAsia" w:ascii="宋体" w:hAnsi="宋体" w:cs="黑体"/>
          <w:b/>
          <w:color w:val="0000FF"/>
          <w:sz w:val="21"/>
          <w:szCs w:val="21"/>
          <w:u w:val="single"/>
        </w:rPr>
        <w:t>2020</w:t>
      </w:r>
      <w:r>
        <w:rPr>
          <w:rFonts w:ascii="宋体" w:hAnsi="宋体" w:cs="宋体"/>
          <w:sz w:val="21"/>
          <w:szCs w:val="21"/>
        </w:rPr>
        <w:t>年</w:t>
      </w:r>
      <w:r>
        <w:rPr>
          <w:rFonts w:hint="eastAsia" w:ascii="宋体" w:hAnsi="宋体" w:cs="宋体"/>
          <w:b/>
          <w:bCs/>
          <w:color w:val="0000FF"/>
          <w:sz w:val="21"/>
          <w:szCs w:val="21"/>
          <w:lang w:val="en-US" w:eastAsia="zh-CN"/>
        </w:rPr>
        <w:t>8</w:t>
      </w:r>
      <w:r>
        <w:rPr>
          <w:rFonts w:ascii="宋体" w:hAnsi="宋体" w:cs="宋体"/>
          <w:sz w:val="21"/>
          <w:szCs w:val="21"/>
        </w:rPr>
        <w:t>月</w:t>
      </w:r>
      <w:r>
        <w:rPr>
          <w:rFonts w:hint="eastAsia" w:ascii="宋体" w:hAnsi="宋体" w:cs="宋体"/>
          <w:b/>
          <w:color w:val="0000FF"/>
          <w:sz w:val="21"/>
          <w:szCs w:val="21"/>
          <w:u w:val="single"/>
          <w:lang w:val="en-US" w:eastAsia="zh-CN"/>
        </w:rPr>
        <w:t>11</w:t>
      </w:r>
      <w:r>
        <w:rPr>
          <w:rFonts w:ascii="宋体" w:hAnsi="宋体" w:cs="宋体"/>
          <w:sz w:val="21"/>
          <w:szCs w:val="21"/>
        </w:rPr>
        <w:t>日</w:t>
      </w:r>
      <w:r>
        <w:rPr>
          <w:rFonts w:hint="eastAsia" w:ascii="宋体" w:hAnsi="宋体" w:cs="黑体"/>
          <w:b/>
          <w:color w:val="0000FF"/>
          <w:sz w:val="21"/>
          <w:szCs w:val="21"/>
          <w:u w:val="single"/>
        </w:rPr>
        <w:t>09</w:t>
      </w:r>
      <w:r>
        <w:rPr>
          <w:rFonts w:ascii="宋体" w:hAnsi="宋体" w:cs="宋体"/>
          <w:sz w:val="21"/>
          <w:szCs w:val="21"/>
        </w:rPr>
        <w:t>时</w:t>
      </w:r>
      <w:r>
        <w:rPr>
          <w:rFonts w:hint="eastAsia" w:ascii="宋体" w:hAnsi="宋体" w:cs="黑体"/>
          <w:b/>
          <w:sz w:val="21"/>
          <w:szCs w:val="21"/>
          <w:u w:val="single"/>
        </w:rPr>
        <w:t>00</w:t>
      </w:r>
      <w:r>
        <w:rPr>
          <w:rFonts w:ascii="宋体" w:hAnsi="宋体" w:cs="宋体"/>
          <w:sz w:val="21"/>
          <w:szCs w:val="21"/>
        </w:rPr>
        <w:t>分（北京时间）</w:t>
      </w:r>
      <w:r>
        <w:rPr>
          <w:rFonts w:hint="eastAsia" w:ascii="宋体" w:hAnsi="宋体" w:cs="宋体"/>
          <w:sz w:val="21"/>
          <w:szCs w:val="21"/>
        </w:rPr>
        <w:t>。</w:t>
      </w:r>
    </w:p>
    <w:p>
      <w:pPr>
        <w:widowControl w:val="0"/>
        <w:autoSpaceDE w:val="0"/>
        <w:autoSpaceDN w:val="0"/>
        <w:adjustRightInd w:val="0"/>
        <w:spacing w:line="520" w:lineRule="exact"/>
        <w:ind w:firstLine="420" w:firstLineChars="200"/>
        <w:rPr>
          <w:rFonts w:ascii="宋体" w:hAnsi="宋体" w:cs="Times New Roman"/>
          <w:bCs/>
          <w:sz w:val="21"/>
          <w:szCs w:val="21"/>
        </w:rPr>
      </w:pPr>
      <w:r>
        <w:rPr>
          <w:rFonts w:hint="eastAsia" w:ascii="宋体" w:hAnsi="宋体" w:cs="Times New Roman"/>
          <w:bCs/>
          <w:sz w:val="21"/>
          <w:szCs w:val="21"/>
        </w:rPr>
        <w:t>6.2 开标地点（网上开标）：中国石油电子招标投标交易平台</w:t>
      </w:r>
    </w:p>
    <w:p>
      <w:pPr>
        <w:widowControl w:val="0"/>
        <w:autoSpaceDE w:val="0"/>
        <w:autoSpaceDN w:val="0"/>
        <w:adjustRightInd w:val="0"/>
        <w:spacing w:line="520" w:lineRule="exact"/>
        <w:ind w:firstLine="420" w:firstLineChars="200"/>
        <w:rPr>
          <w:rFonts w:ascii="宋体" w:hAnsi="宋体" w:cs="Times New Roman"/>
          <w:bCs/>
          <w:sz w:val="21"/>
          <w:szCs w:val="21"/>
        </w:rPr>
      </w:pPr>
      <w:r>
        <w:rPr>
          <w:rFonts w:ascii="宋体" w:hAnsi="宋体" w:cs="Times New Roman"/>
          <w:bCs/>
          <w:sz w:val="21"/>
          <w:szCs w:val="21"/>
        </w:rPr>
        <w:t>（</w:t>
      </w:r>
      <w:r>
        <w:fldChar w:fldCharType="begin"/>
      </w:r>
      <w:r>
        <w:instrText xml:space="preserve"> HYPERLINK "http://ebidmanage.cnpcbidding.com/bidder/ebid/base/login.html" </w:instrText>
      </w:r>
      <w:r>
        <w:fldChar w:fldCharType="separate"/>
      </w:r>
      <w:r>
        <w:rPr>
          <w:rStyle w:val="8"/>
          <w:rFonts w:ascii="宋体" w:hAnsi="宋体" w:cs="Times New Roman"/>
          <w:bCs/>
          <w:sz w:val="21"/>
          <w:szCs w:val="21"/>
        </w:rPr>
        <w:t>http://ebidmanage.cnpcbidding.com/bidder/ebid/base/login.html</w:t>
      </w:r>
      <w:r>
        <w:rPr>
          <w:rStyle w:val="8"/>
          <w:rFonts w:ascii="宋体" w:hAnsi="宋体" w:cs="Times New Roman"/>
          <w:bCs/>
          <w:sz w:val="21"/>
          <w:szCs w:val="21"/>
        </w:rPr>
        <w:fldChar w:fldCharType="end"/>
      </w:r>
      <w:r>
        <w:rPr>
          <w:rFonts w:ascii="宋体" w:hAnsi="宋体" w:cs="Times New Roman"/>
          <w:bCs/>
          <w:sz w:val="21"/>
          <w:szCs w:val="21"/>
        </w:rPr>
        <w:t>）</w:t>
      </w:r>
    </w:p>
    <w:p>
      <w:pPr>
        <w:widowControl w:val="0"/>
        <w:autoSpaceDE w:val="0"/>
        <w:autoSpaceDN w:val="0"/>
        <w:adjustRightInd w:val="0"/>
        <w:spacing w:line="520" w:lineRule="exact"/>
        <w:ind w:firstLine="420" w:firstLineChars="200"/>
        <w:rPr>
          <w:rFonts w:ascii="宋体" w:hAnsi="宋体" w:cs="Times New Roman"/>
          <w:bCs/>
          <w:sz w:val="21"/>
          <w:szCs w:val="21"/>
        </w:rPr>
      </w:pPr>
      <w:r>
        <w:rPr>
          <w:rFonts w:ascii="宋体" w:hAnsi="宋体" w:cs="Times New Roman"/>
          <w:bCs/>
          <w:sz w:val="21"/>
          <w:szCs w:val="21"/>
        </w:rPr>
        <w:t xml:space="preserve">6.3 </w:t>
      </w:r>
      <w:r>
        <w:rPr>
          <w:rFonts w:hint="eastAsia" w:ascii="宋体" w:hAnsi="宋体" w:cs="Times New Roman"/>
          <w:bCs/>
          <w:sz w:val="21"/>
          <w:szCs w:val="21"/>
        </w:rPr>
        <w:t>本次招标采取网上开标方式，所有投标人可准时进入中国石油电子招标投标交易平台开标大厅参加在线开标仪式。</w:t>
      </w:r>
    </w:p>
    <w:p>
      <w:pPr>
        <w:widowControl w:val="0"/>
        <w:autoSpaceDE w:val="0"/>
        <w:autoSpaceDN w:val="0"/>
        <w:adjustRightInd w:val="0"/>
        <w:spacing w:line="520" w:lineRule="exact"/>
        <w:ind w:firstLine="420" w:firstLineChars="200"/>
        <w:rPr>
          <w:rFonts w:ascii="宋体" w:hAnsi="宋体" w:cs="Times New Roman"/>
          <w:bCs/>
          <w:sz w:val="21"/>
          <w:szCs w:val="21"/>
        </w:rPr>
      </w:pPr>
      <w:r>
        <w:rPr>
          <w:rFonts w:ascii="宋体" w:hAnsi="宋体" w:cs="Times New Roman"/>
          <w:bCs/>
          <w:sz w:val="21"/>
          <w:szCs w:val="21"/>
        </w:rPr>
        <w:t>6</w:t>
      </w:r>
      <w:r>
        <w:rPr>
          <w:rFonts w:hint="eastAsia" w:ascii="宋体" w:hAnsi="宋体" w:cs="Times New Roman"/>
          <w:bCs/>
          <w:sz w:val="21"/>
          <w:szCs w:val="21"/>
        </w:rPr>
        <w:t>.</w:t>
      </w:r>
      <w:r>
        <w:rPr>
          <w:rFonts w:ascii="宋体" w:hAnsi="宋体" w:cs="Times New Roman"/>
          <w:bCs/>
          <w:sz w:val="21"/>
          <w:szCs w:val="21"/>
        </w:rPr>
        <w:t xml:space="preserve">4 </w:t>
      </w:r>
      <w:r>
        <w:rPr>
          <w:rFonts w:hint="eastAsia" w:ascii="宋体" w:hAnsi="宋体" w:cs="Times New Roman"/>
          <w:bCs/>
          <w:sz w:val="21"/>
          <w:szCs w:val="21"/>
        </w:rPr>
        <w:t>潜在投标人对招标文件有疑问请联系招标机构；对网上操作有疑问请联系技术支持团队人员。</w:t>
      </w:r>
    </w:p>
    <w:p>
      <w:pPr>
        <w:spacing w:before="100" w:beforeAutospacing="1" w:after="100" w:afterAutospacing="1"/>
        <w:ind w:firstLine="595" w:firstLineChars="282"/>
        <w:rPr>
          <w:rFonts w:hAnsi="宋体"/>
          <w:b/>
          <w:bCs/>
          <w:sz w:val="21"/>
          <w:szCs w:val="21"/>
        </w:rPr>
      </w:pPr>
      <w:r>
        <w:rPr>
          <w:rFonts w:hint="eastAsia" w:hAnsi="宋体"/>
          <w:b/>
          <w:bCs/>
          <w:sz w:val="21"/>
          <w:szCs w:val="21"/>
        </w:rPr>
        <w:t>技术支持团队</w:t>
      </w:r>
      <w:r>
        <w:rPr>
          <w:rFonts w:hAnsi="宋体"/>
          <w:b/>
          <w:bCs/>
          <w:sz w:val="21"/>
          <w:szCs w:val="21"/>
        </w:rPr>
        <w:t>：</w:t>
      </w:r>
      <w:r>
        <w:rPr>
          <w:rFonts w:hint="eastAsia" w:hAnsi="宋体"/>
          <w:b/>
          <w:bCs/>
          <w:sz w:val="21"/>
          <w:szCs w:val="21"/>
        </w:rPr>
        <w:t>中油物采信息技术有限公司</w:t>
      </w:r>
    </w:p>
    <w:p>
      <w:pPr>
        <w:spacing w:before="100" w:beforeAutospacing="1" w:after="100" w:afterAutospacing="1"/>
        <w:ind w:firstLine="595" w:firstLineChars="282"/>
        <w:rPr>
          <w:rFonts w:hAnsi="宋体"/>
          <w:b/>
          <w:bCs/>
          <w:sz w:val="21"/>
          <w:szCs w:val="21"/>
        </w:rPr>
      </w:pPr>
      <w:r>
        <w:rPr>
          <w:rFonts w:hAnsi="宋体"/>
          <w:b/>
          <w:bCs/>
          <w:sz w:val="21"/>
          <w:szCs w:val="21"/>
        </w:rPr>
        <w:t>咨询电话:4008800114如有疑问请在工作时间咨询。</w:t>
      </w:r>
    </w:p>
    <w:p>
      <w:pPr>
        <w:widowControl w:val="0"/>
        <w:autoSpaceDE w:val="0"/>
        <w:autoSpaceDN w:val="0"/>
        <w:adjustRightInd w:val="0"/>
        <w:spacing w:line="520" w:lineRule="exact"/>
        <w:ind w:firstLine="422" w:firstLineChars="200"/>
        <w:rPr>
          <w:rFonts w:ascii="宋体" w:hAnsi="宋体" w:cs="Times New Roman"/>
          <w:b/>
          <w:bCs/>
          <w:sz w:val="21"/>
          <w:szCs w:val="21"/>
        </w:rPr>
      </w:pPr>
      <w:r>
        <w:rPr>
          <w:rFonts w:hAnsi="宋体"/>
          <w:b/>
          <w:bCs/>
          <w:sz w:val="21"/>
          <w:szCs w:val="21"/>
        </w:rPr>
        <w:t>招标公告中未尽事宜或与招标文件不符之处，以招标文件为准。</w:t>
      </w:r>
    </w:p>
    <w:p>
      <w:pPr>
        <w:pStyle w:val="5"/>
        <w:spacing w:line="520" w:lineRule="exact"/>
        <w:jc w:val="left"/>
        <w:outlineLvl w:val="1"/>
        <w:rPr>
          <w:rFonts w:ascii="宋体" w:hAnsi="宋体"/>
          <w:sz w:val="28"/>
          <w:szCs w:val="28"/>
        </w:rPr>
      </w:pPr>
      <w:bookmarkStart w:id="7" w:name="_Toc518554538"/>
      <w:r>
        <w:rPr>
          <w:rFonts w:hint="eastAsia" w:ascii="宋体" w:hAnsi="宋体"/>
          <w:sz w:val="28"/>
          <w:szCs w:val="28"/>
        </w:rPr>
        <w:t>7</w:t>
      </w:r>
      <w:r>
        <w:rPr>
          <w:rFonts w:ascii="宋体" w:hAnsi="宋体"/>
          <w:sz w:val="28"/>
          <w:szCs w:val="28"/>
        </w:rPr>
        <w:t>. 发布公告的媒介</w:t>
      </w:r>
      <w:bookmarkEnd w:id="7"/>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本次招标公告同时在中国招标投标公共服务平台（</w:t>
      </w:r>
      <w:r>
        <w:rPr>
          <w:rFonts w:ascii="宋体" w:hAnsi="宋体" w:cs="宋体"/>
          <w:sz w:val="21"/>
          <w:szCs w:val="21"/>
        </w:rPr>
        <w:t>www.cebpubservice.com</w:t>
      </w:r>
      <w:r>
        <w:rPr>
          <w:rFonts w:hint="eastAsia" w:ascii="宋体" w:hAnsi="宋体" w:cs="宋体"/>
          <w:sz w:val="21"/>
          <w:szCs w:val="21"/>
        </w:rPr>
        <w:t>），中国石油招标投标网（www.cnpcbidding.com）上发布。</w:t>
      </w:r>
    </w:p>
    <w:p>
      <w:pPr>
        <w:widowControl w:val="0"/>
        <w:autoSpaceDE w:val="0"/>
        <w:autoSpaceDN w:val="0"/>
        <w:adjustRightInd w:val="0"/>
        <w:spacing w:line="520" w:lineRule="exact"/>
        <w:rPr>
          <w:rFonts w:ascii="宋体" w:hAnsi="宋体" w:cs="Times New Roman"/>
          <w:b/>
          <w:bCs/>
          <w:sz w:val="28"/>
          <w:szCs w:val="28"/>
        </w:rPr>
      </w:pPr>
      <w:r>
        <w:rPr>
          <w:rFonts w:hint="eastAsia" w:ascii="宋体" w:hAnsi="宋体" w:cs="Times New Roman"/>
          <w:b/>
          <w:bCs/>
          <w:sz w:val="28"/>
          <w:szCs w:val="28"/>
        </w:rPr>
        <w:t>8．</w:t>
      </w:r>
      <w:r>
        <w:rPr>
          <w:rFonts w:ascii="宋体" w:hAnsi="宋体" w:cs="Times New Roman"/>
          <w:b/>
          <w:bCs/>
          <w:sz w:val="28"/>
          <w:szCs w:val="28"/>
        </w:rPr>
        <w:t>投标保证金</w:t>
      </w:r>
      <w:r>
        <w:rPr>
          <w:rFonts w:hint="eastAsia" w:ascii="宋体" w:hAnsi="宋体" w:cs="Times New Roman"/>
          <w:b/>
          <w:bCs/>
          <w:sz w:val="28"/>
          <w:szCs w:val="28"/>
        </w:rPr>
        <w:t>缴纳流程及</w:t>
      </w:r>
      <w:r>
        <w:rPr>
          <w:rFonts w:ascii="宋体" w:hAnsi="宋体" w:cs="Times New Roman"/>
          <w:b/>
          <w:bCs/>
          <w:sz w:val="28"/>
          <w:szCs w:val="28"/>
        </w:rPr>
        <w:t>相关信息</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8.1 投标人从企业基本账户（以在该平台注册时填写的基本账户为准）将所需投标保证金转至平台投标保证金指定账户，账户信息如下：</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        账户名称：昆仑银行电子招投标保证金</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        银行账号：2690 2100 1718 5000 0010</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        银行行号：3132 6501 0019</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        开 户 行：昆仑银行大庆分行营业部</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8.2 转账成功后，平台自动存入投标人平台电子钱包。</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8.3 投标人登录平台，进入所投项目主控台，选择“递交投标保证金”，将项目或标段所需投标保证金从电子钱包分配至所投项目或标段。</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8.4 平台规定：投标人必须将投标保证金分配至所投项目或标段，方可认定投标保证金缴纳成功。详见第六章投标保证金提交截图格式。</w:t>
      </w:r>
    </w:p>
    <w:p>
      <w:pPr>
        <w:widowControl w:val="0"/>
        <w:autoSpaceDE w:val="0"/>
        <w:autoSpaceDN w:val="0"/>
        <w:adjustRightInd w:val="0"/>
        <w:spacing w:line="520" w:lineRule="exact"/>
        <w:ind w:firstLine="420" w:firstLineChars="200"/>
        <w:rPr>
          <w:rFonts w:ascii="宋体" w:hAnsi="宋体" w:cs="宋体"/>
          <w:sz w:val="21"/>
          <w:szCs w:val="21"/>
        </w:rPr>
      </w:pPr>
      <w:r>
        <w:rPr>
          <w:rFonts w:ascii="宋体" w:hAnsi="宋体" w:cs="宋体"/>
          <w:sz w:val="21"/>
          <w:szCs w:val="21"/>
        </w:rPr>
        <w:t>详细操作步骤参见中国石油电子招标投标交易平台-工具中心-投标人用户手册</w:t>
      </w:r>
      <w:r>
        <w:rPr>
          <w:rFonts w:hint="eastAsia" w:ascii="宋体" w:hAnsi="宋体" w:cs="宋体"/>
          <w:sz w:val="21"/>
          <w:szCs w:val="21"/>
        </w:rPr>
        <w:t>-中国石油电子招标投标交易平台投标保证金操作指南。</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相关信息：</w:t>
      </w:r>
    </w:p>
    <w:p>
      <w:pPr>
        <w:widowControl w:val="0"/>
        <w:autoSpaceDE w:val="0"/>
        <w:autoSpaceDN w:val="0"/>
        <w:adjustRightInd w:val="0"/>
        <w:spacing w:line="520" w:lineRule="exact"/>
        <w:ind w:firstLine="420" w:firstLineChars="200"/>
        <w:rPr>
          <w:rFonts w:ascii="宋体" w:hAnsi="宋体" w:cs="宋体"/>
          <w:sz w:val="21"/>
          <w:szCs w:val="21"/>
        </w:rPr>
      </w:pPr>
      <w:r>
        <w:rPr>
          <w:rFonts w:ascii="宋体" w:hAnsi="宋体" w:cs="宋体"/>
          <w:sz w:val="21"/>
          <w:szCs w:val="21"/>
        </w:rPr>
        <w:t>昆仑银行客服电话：95379-1-9-9</w:t>
      </w:r>
      <w:r>
        <w:rPr>
          <w:rFonts w:hint="eastAsia" w:ascii="宋体" w:hAnsi="宋体" w:cs="宋体"/>
          <w:sz w:val="21"/>
          <w:szCs w:val="21"/>
        </w:rPr>
        <w:t>；</w:t>
      </w:r>
      <w:r>
        <w:rPr>
          <w:rFonts w:ascii="宋体" w:hAnsi="宋体" w:cs="宋体"/>
          <w:sz w:val="21"/>
          <w:szCs w:val="21"/>
        </w:rPr>
        <w:t>0459-5615833</w:t>
      </w:r>
      <w:r>
        <w:rPr>
          <w:rFonts w:hint="eastAsia" w:ascii="宋体" w:hAnsi="宋体" w:cs="宋体"/>
          <w:sz w:val="21"/>
          <w:szCs w:val="21"/>
        </w:rPr>
        <w:t>；</w:t>
      </w:r>
      <w:r>
        <w:rPr>
          <w:rFonts w:ascii="宋体" w:hAnsi="宋体" w:cs="宋体"/>
          <w:sz w:val="21"/>
          <w:szCs w:val="21"/>
        </w:rPr>
        <w:t>0459-5615388</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电子招标运营单位：中油物采信息技术有限公司</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咨询电话：4008800114 请根据语音提示直接说出“电子招标”，系统将自动转至人工座席。</w:t>
      </w:r>
    </w:p>
    <w:p>
      <w:pPr>
        <w:pStyle w:val="5"/>
        <w:spacing w:line="520" w:lineRule="exact"/>
        <w:jc w:val="left"/>
        <w:outlineLvl w:val="1"/>
        <w:rPr>
          <w:rFonts w:ascii="宋体"/>
          <w:sz w:val="28"/>
          <w:szCs w:val="28"/>
        </w:rPr>
      </w:pPr>
      <w:r>
        <w:rPr>
          <w:rFonts w:ascii="宋体" w:hAnsi="宋体" w:cs="宋体"/>
          <w:sz w:val="28"/>
          <w:szCs w:val="28"/>
        </w:rPr>
        <w:t xml:space="preserve">8. </w:t>
      </w:r>
      <w:r>
        <w:rPr>
          <w:rFonts w:hint="eastAsia" w:ascii="宋体" w:hAnsi="宋体" w:cs="宋体"/>
          <w:sz w:val="28"/>
          <w:szCs w:val="28"/>
        </w:rPr>
        <w:t>联系方式</w:t>
      </w:r>
      <w:bookmarkEnd w:id="4"/>
    </w:p>
    <w:p>
      <w:pPr>
        <w:widowControl w:val="0"/>
        <w:autoSpaceDE w:val="0"/>
        <w:autoSpaceDN w:val="0"/>
        <w:adjustRightInd w:val="0"/>
        <w:spacing w:line="520" w:lineRule="exact"/>
        <w:ind w:firstLine="420" w:firstLineChars="200"/>
        <w:rPr>
          <w:rFonts w:ascii="宋体" w:hAnsi="宋体" w:cs="黑体"/>
          <w:b/>
          <w:color w:val="0033CC"/>
          <w:sz w:val="21"/>
          <w:szCs w:val="21"/>
        </w:rPr>
      </w:pPr>
      <w:r>
        <w:rPr>
          <w:rFonts w:ascii="宋体" w:hAnsi="宋体" w:cs="宋体"/>
          <w:sz w:val="21"/>
          <w:szCs w:val="21"/>
        </w:rPr>
        <w:t>招标人：</w:t>
      </w:r>
      <w:r>
        <w:rPr>
          <w:rFonts w:hint="eastAsia" w:ascii="宋体" w:hAnsi="宋体" w:cs="黑体"/>
          <w:b/>
          <w:color w:val="0033CC"/>
          <w:sz w:val="21"/>
          <w:szCs w:val="21"/>
          <w:u w:val="single"/>
        </w:rPr>
        <w:t>川庆钻探工程有限公司工程技术研究院</w:t>
      </w:r>
    </w:p>
    <w:p>
      <w:pPr>
        <w:widowControl w:val="0"/>
        <w:autoSpaceDE w:val="0"/>
        <w:autoSpaceDN w:val="0"/>
        <w:adjustRightInd w:val="0"/>
        <w:spacing w:line="520" w:lineRule="exact"/>
        <w:ind w:firstLine="420" w:firstLineChars="200"/>
        <w:rPr>
          <w:rFonts w:ascii="宋体" w:hAnsi="宋体" w:cs="黑体"/>
          <w:b/>
          <w:color w:val="0033CC"/>
          <w:sz w:val="21"/>
          <w:szCs w:val="21"/>
          <w:u w:val="single"/>
        </w:rPr>
      </w:pPr>
      <w:r>
        <w:rPr>
          <w:rFonts w:ascii="宋体" w:hAnsi="宋体" w:cs="宋体"/>
          <w:sz w:val="21"/>
          <w:szCs w:val="21"/>
        </w:rPr>
        <w:t>地址：</w:t>
      </w:r>
      <w:r>
        <w:rPr>
          <w:rFonts w:hint="eastAsia" w:ascii="宋体" w:hAnsi="宋体" w:cs="黑体"/>
          <w:b/>
          <w:color w:val="0033CC"/>
          <w:sz w:val="21"/>
          <w:szCs w:val="21"/>
          <w:u w:val="single"/>
        </w:rPr>
        <w:t xml:space="preserve">陕西省西安市凤城四路长庆大厦 </w:t>
      </w:r>
    </w:p>
    <w:p>
      <w:pPr>
        <w:widowControl w:val="0"/>
        <w:autoSpaceDE w:val="0"/>
        <w:autoSpaceDN w:val="0"/>
        <w:adjustRightInd w:val="0"/>
        <w:spacing w:line="520" w:lineRule="exact"/>
        <w:ind w:firstLine="420" w:firstLineChars="200"/>
        <w:rPr>
          <w:rFonts w:ascii="宋体" w:hAnsi="宋体" w:cs="黑体"/>
          <w:b/>
          <w:color w:val="0033CC"/>
          <w:sz w:val="21"/>
          <w:szCs w:val="21"/>
        </w:rPr>
      </w:pPr>
      <w:r>
        <w:rPr>
          <w:rFonts w:ascii="宋体" w:hAnsi="宋体" w:cs="宋体"/>
          <w:sz w:val="21"/>
          <w:szCs w:val="21"/>
        </w:rPr>
        <w:t>邮编：</w:t>
      </w:r>
      <w:r>
        <w:rPr>
          <w:rFonts w:hint="eastAsia" w:ascii="宋体" w:hAnsi="宋体" w:cs="宋体"/>
          <w:sz w:val="21"/>
          <w:szCs w:val="21"/>
        </w:rPr>
        <w:t>712000</w:t>
      </w:r>
    </w:p>
    <w:p>
      <w:pPr>
        <w:widowControl w:val="0"/>
        <w:autoSpaceDE w:val="0"/>
        <w:autoSpaceDN w:val="0"/>
        <w:adjustRightInd w:val="0"/>
        <w:spacing w:line="520" w:lineRule="exact"/>
        <w:ind w:firstLine="420" w:firstLineChars="200"/>
        <w:rPr>
          <w:rFonts w:ascii="宋体" w:hAnsi="宋体" w:cs="黑体"/>
          <w:sz w:val="21"/>
          <w:szCs w:val="21"/>
        </w:rPr>
      </w:pPr>
      <w:r>
        <w:rPr>
          <w:rFonts w:ascii="宋体" w:hAnsi="宋体" w:cs="宋体"/>
          <w:sz w:val="21"/>
          <w:szCs w:val="21"/>
        </w:rPr>
        <w:t>联系人：</w:t>
      </w:r>
      <w:r>
        <w:rPr>
          <w:rFonts w:hint="eastAsia" w:ascii="宋体" w:hAnsi="宋体" w:cs="宋体"/>
          <w:sz w:val="21"/>
          <w:szCs w:val="21"/>
        </w:rPr>
        <w:t>张艺聪</w:t>
      </w:r>
    </w:p>
    <w:p>
      <w:pPr>
        <w:widowControl w:val="0"/>
        <w:autoSpaceDE w:val="0"/>
        <w:autoSpaceDN w:val="0"/>
        <w:adjustRightInd w:val="0"/>
        <w:spacing w:line="520" w:lineRule="exact"/>
        <w:ind w:firstLine="420" w:firstLineChars="200"/>
        <w:rPr>
          <w:rFonts w:ascii="宋体" w:hAnsi="宋体" w:cs="黑体"/>
          <w:sz w:val="21"/>
          <w:szCs w:val="21"/>
        </w:rPr>
      </w:pPr>
      <w:r>
        <w:rPr>
          <w:rFonts w:ascii="宋体" w:hAnsi="宋体" w:cs="宋体"/>
          <w:sz w:val="21"/>
          <w:szCs w:val="21"/>
        </w:rPr>
        <w:t>电话：029—8659</w:t>
      </w:r>
      <w:r>
        <w:rPr>
          <w:rFonts w:hint="eastAsia" w:ascii="宋体" w:hAnsi="宋体" w:cs="宋体"/>
          <w:sz w:val="21"/>
          <w:szCs w:val="21"/>
        </w:rPr>
        <w:t>1791</w:t>
      </w:r>
    </w:p>
    <w:p>
      <w:pPr>
        <w:pStyle w:val="10"/>
      </w:pPr>
    </w:p>
    <w:p>
      <w:pPr>
        <w:pStyle w:val="10"/>
      </w:pPr>
    </w:p>
    <w:p>
      <w:pPr>
        <w:widowControl w:val="0"/>
        <w:autoSpaceDE w:val="0"/>
        <w:autoSpaceDN w:val="0"/>
        <w:adjustRightInd w:val="0"/>
        <w:spacing w:line="520" w:lineRule="exact"/>
        <w:ind w:firstLine="420" w:firstLineChars="200"/>
        <w:rPr>
          <w:rFonts w:ascii="宋体" w:cs="Times New Roman"/>
          <w:b/>
          <w:bCs/>
          <w:color w:val="0000FF"/>
          <w:sz w:val="21"/>
          <w:szCs w:val="21"/>
          <w:u w:val="single"/>
        </w:rPr>
      </w:pPr>
      <w:r>
        <w:rPr>
          <w:rFonts w:hint="eastAsia" w:ascii="宋体" w:hAnsi="宋体" w:cs="宋体"/>
          <w:sz w:val="21"/>
          <w:szCs w:val="21"/>
        </w:rPr>
        <w:t>招标机构：</w:t>
      </w:r>
      <w:r>
        <w:rPr>
          <w:rFonts w:hint="eastAsia" w:ascii="宋体" w:hAnsi="宋体" w:cs="宋体"/>
          <w:b/>
          <w:bCs/>
          <w:color w:val="0000FF"/>
          <w:sz w:val="21"/>
          <w:szCs w:val="21"/>
          <w:u w:val="single"/>
        </w:rPr>
        <w:t>中国石油物资有限公司西安分公司</w:t>
      </w:r>
    </w:p>
    <w:p>
      <w:pPr>
        <w:widowControl w:val="0"/>
        <w:autoSpaceDE w:val="0"/>
        <w:autoSpaceDN w:val="0"/>
        <w:adjustRightInd w:val="0"/>
        <w:spacing w:line="520" w:lineRule="exact"/>
        <w:ind w:firstLine="420" w:firstLineChars="200"/>
        <w:rPr>
          <w:rFonts w:ascii="宋体" w:cs="Times New Roman"/>
          <w:color w:val="0000FF"/>
          <w:sz w:val="21"/>
          <w:szCs w:val="21"/>
        </w:rPr>
      </w:pPr>
      <w:r>
        <w:rPr>
          <w:rFonts w:hint="eastAsia" w:ascii="宋体" w:hAnsi="宋体" w:cs="宋体"/>
          <w:sz w:val="21"/>
          <w:szCs w:val="21"/>
        </w:rPr>
        <w:t>地址</w:t>
      </w:r>
      <w:r>
        <w:rPr>
          <w:rFonts w:hint="eastAsia" w:ascii="宋体" w:hAnsi="宋体" w:cs="宋体"/>
          <w:color w:val="0000FF"/>
          <w:sz w:val="21"/>
          <w:szCs w:val="21"/>
        </w:rPr>
        <w:t>：</w:t>
      </w:r>
      <w:r>
        <w:rPr>
          <w:rFonts w:hint="eastAsia" w:ascii="宋体" w:hAnsi="宋体" w:cs="宋体"/>
          <w:b/>
          <w:bCs/>
          <w:color w:val="0000FF"/>
          <w:sz w:val="21"/>
          <w:szCs w:val="21"/>
          <w:u w:val="single"/>
        </w:rPr>
        <w:t>陕西省西安市凤城五路与明光路十字东北角天朗经开中心二楼</w:t>
      </w:r>
    </w:p>
    <w:p>
      <w:pPr>
        <w:widowControl w:val="0"/>
        <w:autoSpaceDE w:val="0"/>
        <w:autoSpaceDN w:val="0"/>
        <w:adjustRightInd w:val="0"/>
        <w:spacing w:line="520" w:lineRule="exact"/>
        <w:ind w:firstLine="420" w:firstLineChars="200"/>
        <w:rPr>
          <w:rFonts w:ascii="宋体" w:cs="Times New Roman"/>
          <w:color w:val="0000FF"/>
          <w:sz w:val="21"/>
          <w:szCs w:val="21"/>
        </w:rPr>
      </w:pPr>
      <w:r>
        <w:rPr>
          <w:rFonts w:hint="eastAsia" w:ascii="宋体" w:hAnsi="宋体" w:cs="宋体"/>
          <w:sz w:val="21"/>
          <w:szCs w:val="21"/>
        </w:rPr>
        <w:t>联系人：</w:t>
      </w:r>
      <w:r>
        <w:rPr>
          <w:rFonts w:hint="eastAsia" w:ascii="宋体" w:hAnsi="宋体" w:cs="宋体"/>
          <w:b/>
          <w:bCs/>
          <w:color w:val="0000FF"/>
          <w:sz w:val="21"/>
          <w:szCs w:val="21"/>
          <w:u w:val="single"/>
        </w:rPr>
        <w:t xml:space="preserve"> 程健   王新岗 </w:t>
      </w:r>
    </w:p>
    <w:p>
      <w:pPr>
        <w:widowControl w:val="0"/>
        <w:autoSpaceDE w:val="0"/>
        <w:autoSpaceDN w:val="0"/>
        <w:adjustRightInd w:val="0"/>
        <w:spacing w:line="520" w:lineRule="exact"/>
        <w:ind w:firstLine="420" w:firstLineChars="200"/>
        <w:rPr>
          <w:rFonts w:ascii="宋体" w:cs="Times New Roman"/>
          <w:color w:val="0000FF"/>
          <w:sz w:val="21"/>
          <w:szCs w:val="21"/>
        </w:rPr>
      </w:pPr>
      <w:r>
        <w:rPr>
          <w:rFonts w:hint="eastAsia" w:ascii="宋体" w:hAnsi="宋体" w:cs="宋体"/>
          <w:sz w:val="21"/>
          <w:szCs w:val="21"/>
        </w:rPr>
        <w:t>电话：</w:t>
      </w:r>
      <w:r>
        <w:rPr>
          <w:rFonts w:ascii="宋体" w:hAnsi="宋体" w:cs="宋体"/>
          <w:b/>
          <w:bCs/>
          <w:color w:val="0000FF"/>
          <w:sz w:val="21"/>
          <w:szCs w:val="21"/>
          <w:u w:val="single"/>
        </w:rPr>
        <w:t>029-68934568</w:t>
      </w:r>
    </w:p>
    <w:p>
      <w:pPr>
        <w:widowControl w:val="0"/>
        <w:autoSpaceDE w:val="0"/>
        <w:autoSpaceDN w:val="0"/>
        <w:adjustRightInd w:val="0"/>
        <w:spacing w:line="520" w:lineRule="exact"/>
        <w:ind w:firstLine="420" w:firstLineChars="200"/>
        <w:rPr>
          <w:rFonts w:ascii="宋体" w:cs="Times New Roman"/>
          <w:b/>
          <w:bCs/>
          <w:color w:val="0000FF"/>
          <w:sz w:val="21"/>
          <w:szCs w:val="21"/>
        </w:rPr>
      </w:pPr>
      <w:r>
        <w:rPr>
          <w:rFonts w:hint="eastAsia" w:ascii="宋体" w:hAnsi="宋体" w:cs="宋体"/>
          <w:sz w:val="21"/>
          <w:szCs w:val="21"/>
        </w:rPr>
        <w:t>电子邮件：</w:t>
      </w:r>
      <w:r>
        <w:rPr>
          <w:rFonts w:ascii="宋体" w:hAnsi="宋体" w:cs="宋体"/>
          <w:b/>
          <w:bCs/>
          <w:color w:val="0000FF"/>
          <w:sz w:val="21"/>
          <w:szCs w:val="21"/>
        </w:rPr>
        <w:t>chengjian_xa@cnpc.com.cn</w:t>
      </w:r>
    </w:p>
    <w:p>
      <w:pPr>
        <w:widowControl w:val="0"/>
        <w:autoSpaceDE w:val="0"/>
        <w:autoSpaceDN w:val="0"/>
        <w:adjustRightInd w:val="0"/>
        <w:spacing w:line="520" w:lineRule="exact"/>
        <w:jc w:val="right"/>
        <w:rPr>
          <w:rFonts w:ascii="宋体" w:cs="Times New Roman"/>
          <w:sz w:val="21"/>
          <w:szCs w:val="21"/>
        </w:rPr>
      </w:pPr>
      <w:r>
        <w:rPr>
          <w:rFonts w:hint="eastAsia" w:ascii="宋体" w:hAnsi="宋体" w:cs="宋体"/>
          <w:sz w:val="21"/>
          <w:szCs w:val="21"/>
        </w:rPr>
        <w:t>中国石油物资有限公司西安分公司</w:t>
      </w:r>
    </w:p>
    <w:p>
      <w:pPr>
        <w:spacing w:line="520" w:lineRule="exact"/>
        <w:jc w:val="right"/>
        <w:rPr>
          <w:rFonts w:hint="eastAsia" w:ascii="宋体" w:hAnsi="宋体" w:cs="宋体"/>
          <w:sz w:val="21"/>
          <w:szCs w:val="21"/>
        </w:rPr>
      </w:pPr>
      <w:r>
        <w:rPr>
          <w:rFonts w:hint="eastAsia" w:ascii="宋体" w:hAnsi="宋体" w:cs="宋体"/>
          <w:b/>
          <w:bCs/>
          <w:color w:val="0033CC"/>
          <w:sz w:val="21"/>
          <w:szCs w:val="21"/>
          <w:u w:val="single"/>
        </w:rPr>
        <w:t>2020</w:t>
      </w:r>
      <w:r>
        <w:rPr>
          <w:rFonts w:hint="eastAsia" w:ascii="宋体" w:hAnsi="宋体" w:cs="宋体"/>
          <w:sz w:val="21"/>
          <w:szCs w:val="21"/>
        </w:rPr>
        <w:t>年</w:t>
      </w:r>
      <w:r>
        <w:rPr>
          <w:rFonts w:hint="eastAsia" w:ascii="宋体" w:hAnsi="宋体" w:cs="宋体"/>
          <w:b/>
          <w:bCs/>
          <w:color w:val="0033CC"/>
          <w:sz w:val="21"/>
          <w:szCs w:val="21"/>
          <w:u w:val="single"/>
          <w:lang w:val="en-US" w:eastAsia="zh-CN"/>
        </w:rPr>
        <w:t>7</w:t>
      </w:r>
      <w:r>
        <w:rPr>
          <w:rFonts w:hint="eastAsia" w:ascii="宋体" w:hAnsi="宋体" w:cs="宋体"/>
          <w:sz w:val="21"/>
          <w:szCs w:val="21"/>
        </w:rPr>
        <w:t>月</w:t>
      </w:r>
      <w:r>
        <w:rPr>
          <w:rFonts w:hint="eastAsia" w:ascii="宋体" w:hAnsi="宋体" w:cs="宋体"/>
          <w:b/>
          <w:bCs/>
          <w:color w:val="0033CC"/>
          <w:sz w:val="21"/>
          <w:szCs w:val="21"/>
          <w:u w:val="single"/>
          <w:lang w:val="en-US" w:eastAsia="zh-CN"/>
        </w:rPr>
        <w:t>16</w:t>
      </w:r>
      <w:r>
        <w:rPr>
          <w:rFonts w:hint="eastAsia" w:ascii="宋体" w:hAnsi="宋体" w:cs="宋体"/>
          <w:sz w:val="21"/>
          <w:szCs w:val="21"/>
        </w:rPr>
        <w:t>日</w:t>
      </w:r>
    </w:p>
    <w:p>
      <w:pPr>
        <w:pStyle w:val="3"/>
        <w:rPr>
          <w:rFonts w:ascii="方正仿宋简体" w:hAnsi="宋体" w:eastAsia="方正仿宋简体" w:cs="方正仿宋简体"/>
          <w:sz w:val="28"/>
          <w:szCs w:val="28"/>
        </w:rPr>
      </w:pPr>
      <w:r>
        <w:rPr>
          <w:rFonts w:hint="eastAsia" w:ascii="黑体" w:hAnsi="黑体" w:cs="黑体"/>
          <w:b/>
          <w:sz w:val="28"/>
          <w:szCs w:val="28"/>
        </w:rPr>
        <w:t>货物</w:t>
      </w:r>
      <w:r>
        <w:rPr>
          <w:rFonts w:ascii="黑体" w:hAnsi="黑体" w:cs="黑体"/>
          <w:b/>
          <w:sz w:val="28"/>
          <w:szCs w:val="28"/>
        </w:rPr>
        <w:t>需求一览表</w:t>
      </w:r>
    </w:p>
    <w:tbl>
      <w:tblPr>
        <w:tblStyle w:val="6"/>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13" w:type="dxa"/>
        </w:tblCellMar>
      </w:tblPr>
      <w:tblGrid>
        <w:gridCol w:w="472"/>
        <w:gridCol w:w="1211"/>
        <w:gridCol w:w="1067"/>
        <w:gridCol w:w="1244"/>
        <w:gridCol w:w="1627"/>
        <w:gridCol w:w="894"/>
        <w:gridCol w:w="200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13" w:type="dxa"/>
          </w:tblCellMar>
        </w:tblPrEx>
        <w:trPr>
          <w:trHeight w:val="976" w:hRule="atLeast"/>
          <w:jc w:val="center"/>
        </w:trPr>
        <w:tc>
          <w:tcPr>
            <w:tcW w:w="277" w:type="pct"/>
            <w:noWrap w:val="0"/>
            <w:vAlign w:val="center"/>
          </w:tcPr>
          <w:p>
            <w:pPr>
              <w:jc w:val="center"/>
              <w:rPr>
                <w:rFonts w:hint="eastAsia" w:ascii="宋体" w:hAnsi="宋体"/>
                <w:color w:val="000000"/>
                <w:szCs w:val="21"/>
              </w:rPr>
            </w:pPr>
            <w:r>
              <w:rPr>
                <w:rFonts w:hint="eastAsia" w:ascii="宋体" w:hAnsi="宋体"/>
                <w:color w:val="000000"/>
                <w:szCs w:val="21"/>
              </w:rPr>
              <w:t>标包</w:t>
            </w:r>
          </w:p>
        </w:tc>
        <w:tc>
          <w:tcPr>
            <w:tcW w:w="710" w:type="pct"/>
            <w:noWrap w:val="0"/>
            <w:vAlign w:val="center"/>
          </w:tcPr>
          <w:p>
            <w:pPr>
              <w:jc w:val="center"/>
              <w:rPr>
                <w:rFonts w:hint="eastAsia" w:ascii="宋体" w:hAnsi="宋体"/>
                <w:color w:val="000000"/>
                <w:szCs w:val="21"/>
              </w:rPr>
            </w:pPr>
            <w:r>
              <w:rPr>
                <w:rFonts w:hint="eastAsia" w:ascii="宋体" w:hAnsi="宋体"/>
                <w:color w:val="000000"/>
                <w:szCs w:val="21"/>
              </w:rPr>
              <w:t>货物</w:t>
            </w:r>
          </w:p>
        </w:tc>
        <w:tc>
          <w:tcPr>
            <w:tcW w:w="625" w:type="pct"/>
            <w:noWrap w:val="0"/>
            <w:vAlign w:val="center"/>
          </w:tcPr>
          <w:p>
            <w:pPr>
              <w:jc w:val="center"/>
              <w:rPr>
                <w:rFonts w:hint="eastAsia" w:ascii="宋体" w:hAnsi="宋体"/>
                <w:color w:val="000000"/>
                <w:szCs w:val="21"/>
              </w:rPr>
            </w:pPr>
            <w:r>
              <w:rPr>
                <w:rFonts w:hint="eastAsia" w:ascii="宋体" w:hAnsi="宋体"/>
                <w:color w:val="000000"/>
                <w:szCs w:val="21"/>
              </w:rPr>
              <w:t>外观</w:t>
            </w:r>
          </w:p>
        </w:tc>
        <w:tc>
          <w:tcPr>
            <w:tcW w:w="730" w:type="pct"/>
            <w:noWrap w:val="0"/>
            <w:vAlign w:val="center"/>
          </w:tcPr>
          <w:p>
            <w:pPr>
              <w:jc w:val="center"/>
              <w:rPr>
                <w:rFonts w:hint="eastAsia" w:ascii="宋体" w:hAnsi="宋体"/>
                <w:color w:val="000000"/>
                <w:szCs w:val="21"/>
              </w:rPr>
            </w:pPr>
            <w:r>
              <w:rPr>
                <w:rFonts w:hint="eastAsia" w:ascii="宋体" w:hAnsi="宋体"/>
                <w:color w:val="000000"/>
                <w:szCs w:val="21"/>
              </w:rPr>
              <w:t>技术</w:t>
            </w:r>
          </w:p>
          <w:p>
            <w:pPr>
              <w:jc w:val="center"/>
              <w:rPr>
                <w:rFonts w:hint="eastAsia" w:ascii="宋体" w:hAnsi="宋体"/>
                <w:color w:val="000000"/>
                <w:szCs w:val="21"/>
              </w:rPr>
            </w:pPr>
            <w:r>
              <w:rPr>
                <w:rFonts w:hint="eastAsia" w:ascii="宋体" w:hAnsi="宋体"/>
                <w:color w:val="000000"/>
                <w:szCs w:val="21"/>
              </w:rPr>
              <w:t>要求</w:t>
            </w:r>
          </w:p>
        </w:tc>
        <w:tc>
          <w:tcPr>
            <w:tcW w:w="954" w:type="pct"/>
            <w:noWrap w:val="0"/>
            <w:vAlign w:val="center"/>
          </w:tcPr>
          <w:p>
            <w:pPr>
              <w:jc w:val="center"/>
              <w:rPr>
                <w:rFonts w:hint="eastAsia" w:ascii="宋体" w:hAnsi="宋体"/>
                <w:color w:val="000000"/>
                <w:szCs w:val="21"/>
              </w:rPr>
            </w:pPr>
            <w:r>
              <w:rPr>
                <w:rFonts w:hint="eastAsia" w:ascii="宋体" w:hAnsi="宋体"/>
                <w:color w:val="000000"/>
                <w:szCs w:val="21"/>
              </w:rPr>
              <w:t>项目数量</w:t>
            </w:r>
          </w:p>
        </w:tc>
        <w:tc>
          <w:tcPr>
            <w:tcW w:w="524" w:type="pct"/>
            <w:noWrap w:val="0"/>
            <w:vAlign w:val="center"/>
          </w:tcPr>
          <w:p>
            <w:pPr>
              <w:jc w:val="center"/>
              <w:rPr>
                <w:rFonts w:hint="eastAsia" w:ascii="宋体" w:hAnsi="宋体" w:eastAsiaTheme="minorEastAsia"/>
                <w:color w:val="000000"/>
                <w:szCs w:val="21"/>
                <w:lang w:eastAsia="zh-CN"/>
              </w:rPr>
            </w:pPr>
            <w:r>
              <w:rPr>
                <w:rFonts w:hint="eastAsia" w:ascii="宋体" w:hAnsi="宋体"/>
                <w:color w:val="000000"/>
                <w:szCs w:val="21"/>
                <w:lang w:eastAsia="zh-CN"/>
              </w:rPr>
              <w:t>限价（元</w:t>
            </w:r>
            <w:r>
              <w:rPr>
                <w:rFonts w:hint="eastAsia" w:ascii="宋体" w:hAnsi="宋体"/>
                <w:color w:val="000000"/>
                <w:szCs w:val="21"/>
                <w:lang w:val="en-US" w:eastAsia="zh-CN"/>
              </w:rPr>
              <w:t>/吨</w:t>
            </w:r>
            <w:r>
              <w:rPr>
                <w:rFonts w:hint="eastAsia" w:ascii="宋体" w:hAnsi="宋体"/>
                <w:color w:val="000000"/>
                <w:szCs w:val="21"/>
                <w:lang w:eastAsia="zh-CN"/>
              </w:rPr>
              <w:t>）</w:t>
            </w:r>
          </w:p>
        </w:tc>
        <w:tc>
          <w:tcPr>
            <w:tcW w:w="1177" w:type="pct"/>
            <w:noWrap w:val="0"/>
            <w:vAlign w:val="center"/>
          </w:tcPr>
          <w:p>
            <w:pPr>
              <w:jc w:val="center"/>
              <w:rPr>
                <w:rFonts w:hint="eastAsia" w:ascii="宋体" w:hAnsi="宋体"/>
                <w:color w:val="000000"/>
                <w:szCs w:val="21"/>
              </w:rPr>
            </w:pPr>
            <w:r>
              <w:rPr>
                <w:rFonts w:hint="eastAsia" w:ascii="宋体" w:hAnsi="宋体"/>
                <w:color w:val="000000"/>
                <w:szCs w:val="21"/>
              </w:rPr>
              <w:t>包装要求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13" w:type="dxa"/>
          </w:tblCellMar>
        </w:tblPrEx>
        <w:trPr>
          <w:trHeight w:val="1144" w:hRule="atLeast"/>
          <w:jc w:val="center"/>
        </w:trPr>
        <w:tc>
          <w:tcPr>
            <w:tcW w:w="277" w:type="pct"/>
            <w:noWrap w:val="0"/>
            <w:vAlign w:val="center"/>
          </w:tcPr>
          <w:p>
            <w:pPr>
              <w:jc w:val="center"/>
              <w:rPr>
                <w:rFonts w:hint="eastAsia" w:ascii="宋体" w:hAnsi="宋体"/>
                <w:color w:val="000000"/>
                <w:szCs w:val="21"/>
              </w:rPr>
            </w:pPr>
            <w:r>
              <w:rPr>
                <w:rFonts w:hint="eastAsia" w:ascii="宋体" w:hAnsi="宋体"/>
                <w:color w:val="000000"/>
                <w:szCs w:val="21"/>
              </w:rPr>
              <w:t>标包1</w:t>
            </w:r>
          </w:p>
        </w:tc>
        <w:tc>
          <w:tcPr>
            <w:tcW w:w="710" w:type="pct"/>
            <w:noWrap w:val="0"/>
            <w:vAlign w:val="center"/>
          </w:tcPr>
          <w:p>
            <w:pPr>
              <w:jc w:val="center"/>
              <w:rPr>
                <w:rFonts w:hint="eastAsia" w:ascii="宋体" w:hAnsi="宋体"/>
                <w:color w:val="000000"/>
                <w:szCs w:val="21"/>
              </w:rPr>
            </w:pPr>
            <w:r>
              <w:rPr>
                <w:rFonts w:hint="eastAsia" w:ascii="宋体" w:hAnsi="宋体"/>
                <w:color w:val="000000"/>
                <w:szCs w:val="21"/>
              </w:rPr>
              <w:t>磺化醛酮缩聚物减水剂</w:t>
            </w:r>
          </w:p>
        </w:tc>
        <w:tc>
          <w:tcPr>
            <w:tcW w:w="625" w:type="pct"/>
            <w:noWrap w:val="0"/>
            <w:vAlign w:val="center"/>
          </w:tcPr>
          <w:p>
            <w:pPr>
              <w:jc w:val="center"/>
              <w:rPr>
                <w:rFonts w:hint="eastAsia" w:ascii="宋体" w:hAnsi="宋体"/>
                <w:color w:val="000000"/>
                <w:szCs w:val="21"/>
              </w:rPr>
            </w:pPr>
            <w:r>
              <w:rPr>
                <w:rFonts w:hint="eastAsia" w:ascii="宋体" w:hAnsi="宋体"/>
                <w:color w:val="000000"/>
                <w:szCs w:val="21"/>
              </w:rPr>
              <w:t>棕黄色或红褐色固体粉未</w:t>
            </w:r>
          </w:p>
        </w:tc>
        <w:tc>
          <w:tcPr>
            <w:tcW w:w="730" w:type="pct"/>
            <w:noWrap w:val="0"/>
            <w:vAlign w:val="center"/>
          </w:tcPr>
          <w:p>
            <w:pPr>
              <w:rPr>
                <w:rFonts w:hint="eastAsia" w:ascii="宋体" w:hAnsi="宋体"/>
                <w:color w:val="000000"/>
                <w:szCs w:val="21"/>
              </w:rPr>
            </w:pPr>
            <w:r>
              <w:rPr>
                <w:rFonts w:hint="eastAsia" w:ascii="宋体" w:hAnsi="宋体"/>
                <w:color w:val="000000"/>
                <w:szCs w:val="21"/>
              </w:rPr>
              <w:t>符合标书规定的技术指标要求。</w:t>
            </w:r>
          </w:p>
        </w:tc>
        <w:tc>
          <w:tcPr>
            <w:tcW w:w="954" w:type="pct"/>
            <w:noWrap w:val="0"/>
            <w:vAlign w:val="center"/>
          </w:tcPr>
          <w:p>
            <w:pPr>
              <w:jc w:val="center"/>
              <w:rPr>
                <w:rFonts w:hint="eastAsia" w:ascii="宋体" w:hAnsi="宋体"/>
                <w:color w:val="000000"/>
                <w:szCs w:val="21"/>
              </w:rPr>
            </w:pPr>
            <w:r>
              <w:rPr>
                <w:rFonts w:hint="eastAsia" w:ascii="宋体" w:hAnsi="宋体"/>
                <w:color w:val="000000"/>
                <w:szCs w:val="21"/>
                <w:lang w:val="en-US" w:eastAsia="zh-CN"/>
              </w:rPr>
              <w:t>500</w:t>
            </w:r>
            <w:r>
              <w:rPr>
                <w:rFonts w:hint="eastAsia" w:ascii="宋体" w:hAnsi="宋体"/>
                <w:color w:val="000000"/>
                <w:szCs w:val="21"/>
              </w:rPr>
              <w:t>吨</w:t>
            </w:r>
          </w:p>
          <w:p>
            <w:pPr>
              <w:jc w:val="center"/>
              <w:rPr>
                <w:rFonts w:hint="eastAsia" w:ascii="宋体" w:hAnsi="宋体"/>
                <w:color w:val="000000"/>
                <w:szCs w:val="21"/>
              </w:rPr>
            </w:pPr>
            <w:r>
              <w:rPr>
                <w:rFonts w:hint="eastAsia" w:ascii="宋体" w:hAnsi="宋体"/>
                <w:color w:val="000000"/>
                <w:szCs w:val="21"/>
              </w:rPr>
              <w:t>（预计数量，以实际使用量结算)。</w:t>
            </w:r>
          </w:p>
        </w:tc>
        <w:tc>
          <w:tcPr>
            <w:tcW w:w="524" w:type="pct"/>
            <w:noWrap w:val="0"/>
            <w:vAlign w:val="center"/>
          </w:tcPr>
          <w:p>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9600</w:t>
            </w:r>
          </w:p>
        </w:tc>
        <w:tc>
          <w:tcPr>
            <w:tcW w:w="1177" w:type="pct"/>
            <w:noWrap w:val="0"/>
            <w:vAlign w:val="center"/>
          </w:tcPr>
          <w:p>
            <w:pPr>
              <w:jc w:val="center"/>
              <w:rPr>
                <w:rFonts w:hint="eastAsia" w:ascii="宋体" w:hAnsi="宋体"/>
                <w:color w:val="000000"/>
                <w:szCs w:val="21"/>
              </w:rPr>
            </w:pPr>
            <w:r>
              <w:rPr>
                <w:rFonts w:hint="eastAsia" w:ascii="宋体" w:hAnsi="宋体"/>
                <w:color w:val="000000"/>
                <w:szCs w:val="21"/>
              </w:rPr>
              <w:t>袋包装，25Kg/袋，符合GB/T191-2008化工产品的包装要求。</w:t>
            </w:r>
          </w:p>
        </w:tc>
      </w:tr>
    </w:tbl>
    <w:p>
      <w:pPr>
        <w:pStyle w:val="3"/>
        <w:rPr>
          <w:rFonts w:cstheme="minorBidi"/>
          <w:sz w:val="28"/>
          <w:szCs w:val="28"/>
        </w:rPr>
      </w:pPr>
      <w:r>
        <w:rPr>
          <w:rFonts w:ascii="黑体" w:hAnsi="黑体" w:cs="黑体"/>
          <w:b w:val="0"/>
          <w:sz w:val="28"/>
          <w:szCs w:val="28"/>
        </w:rPr>
        <w:t>三、质量标准</w:t>
      </w:r>
      <w:r>
        <w:rPr>
          <w:rFonts w:hint="eastAsia" w:ascii="黑体" w:hAnsi="黑体" w:cs="黑体"/>
          <w:b w:val="0"/>
          <w:sz w:val="28"/>
          <w:szCs w:val="28"/>
        </w:rPr>
        <w:t>及技术要求</w:t>
      </w:r>
    </w:p>
    <w:p>
      <w:pPr>
        <w:pStyle w:val="4"/>
        <w:spacing w:before="20" w:after="20" w:line="415" w:lineRule="auto"/>
        <w:jc w:val="center"/>
        <w:rPr>
          <w:rFonts w:ascii="宋体" w:hAnsi="宋体"/>
          <w:color w:val="000000"/>
          <w:sz w:val="24"/>
          <w:szCs w:val="24"/>
        </w:rPr>
      </w:pPr>
      <w:r>
        <w:rPr>
          <w:rFonts w:hint="eastAsia" w:ascii="宋体" w:hAnsi="宋体"/>
          <w:color w:val="000000"/>
          <w:sz w:val="24"/>
          <w:szCs w:val="24"/>
        </w:rPr>
        <w:t>磺化醛酮缩聚物减水剂</w:t>
      </w:r>
      <w:r>
        <w:rPr>
          <w:rFonts w:ascii="宋体" w:hAnsi="宋体"/>
          <w:color w:val="000000"/>
          <w:sz w:val="24"/>
          <w:szCs w:val="24"/>
        </w:rPr>
        <w:t>技术条款</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551"/>
        <w:gridCol w:w="1680"/>
        <w:gridCol w:w="4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305" w:type="dxa"/>
            <w:noWrap w:val="0"/>
            <w:vAlign w:val="center"/>
          </w:tcPr>
          <w:p>
            <w:pPr>
              <w:spacing w:line="276" w:lineRule="auto"/>
              <w:jc w:val="center"/>
              <w:rPr>
                <w:rFonts w:ascii="宋体" w:hAnsi="宋体"/>
                <w:color w:val="000000"/>
                <w:szCs w:val="21"/>
              </w:rPr>
            </w:pPr>
            <w:r>
              <w:rPr>
                <w:rFonts w:ascii="宋体" w:hAnsi="宋体"/>
                <w:color w:val="000000"/>
                <w:szCs w:val="21"/>
              </w:rPr>
              <w:t>序号</w:t>
            </w:r>
          </w:p>
        </w:tc>
        <w:tc>
          <w:tcPr>
            <w:tcW w:w="3231" w:type="dxa"/>
            <w:gridSpan w:val="2"/>
            <w:noWrap w:val="0"/>
            <w:vAlign w:val="center"/>
          </w:tcPr>
          <w:p>
            <w:pPr>
              <w:spacing w:line="276" w:lineRule="auto"/>
              <w:jc w:val="center"/>
              <w:rPr>
                <w:rFonts w:ascii="宋体" w:hAnsi="宋体"/>
                <w:color w:val="000000"/>
                <w:szCs w:val="21"/>
              </w:rPr>
            </w:pPr>
            <w:r>
              <w:rPr>
                <w:rFonts w:ascii="宋体" w:hAnsi="宋体"/>
                <w:color w:val="000000"/>
                <w:szCs w:val="21"/>
              </w:rPr>
              <w:t>技术指标名称</w:t>
            </w:r>
          </w:p>
        </w:tc>
        <w:tc>
          <w:tcPr>
            <w:tcW w:w="4253" w:type="dxa"/>
            <w:noWrap w:val="0"/>
            <w:vAlign w:val="center"/>
          </w:tcPr>
          <w:p>
            <w:pPr>
              <w:spacing w:line="276" w:lineRule="auto"/>
              <w:jc w:val="center"/>
              <w:rPr>
                <w:rFonts w:ascii="宋体" w:hAnsi="宋体"/>
                <w:color w:val="000000"/>
                <w:szCs w:val="21"/>
              </w:rPr>
            </w:pPr>
            <w:r>
              <w:rPr>
                <w:rFonts w:ascii="宋体" w:hAnsi="宋体"/>
                <w:color w:val="000000"/>
                <w:szCs w:val="21"/>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305" w:type="dxa"/>
            <w:vMerge w:val="restart"/>
            <w:noWrap w:val="0"/>
            <w:vAlign w:val="center"/>
          </w:tcPr>
          <w:p>
            <w:pPr>
              <w:spacing w:line="276" w:lineRule="auto"/>
              <w:jc w:val="center"/>
              <w:rPr>
                <w:rFonts w:ascii="宋体" w:hAnsi="宋体"/>
                <w:color w:val="000000"/>
                <w:szCs w:val="21"/>
              </w:rPr>
            </w:pPr>
            <w:r>
              <w:rPr>
                <w:rFonts w:ascii="宋体" w:hAnsi="宋体"/>
                <w:color w:val="000000"/>
                <w:szCs w:val="21"/>
              </w:rPr>
              <w:t>1</w:t>
            </w:r>
          </w:p>
        </w:tc>
        <w:tc>
          <w:tcPr>
            <w:tcW w:w="3231" w:type="dxa"/>
            <w:gridSpan w:val="2"/>
            <w:noWrap w:val="0"/>
            <w:vAlign w:val="center"/>
          </w:tcPr>
          <w:p>
            <w:pPr>
              <w:rPr>
                <w:rFonts w:ascii="宋体" w:hAnsi="宋体"/>
                <w:color w:val="000000"/>
                <w:sz w:val="18"/>
                <w:szCs w:val="18"/>
              </w:rPr>
            </w:pPr>
            <w:r>
              <w:rPr>
                <w:rFonts w:hint="eastAsia" w:ascii="宋体" w:hAnsi="宋体"/>
                <w:color w:val="000000"/>
                <w:sz w:val="18"/>
                <w:szCs w:val="18"/>
              </w:rPr>
              <w:t>*细度 %</w:t>
            </w:r>
          </w:p>
        </w:tc>
        <w:tc>
          <w:tcPr>
            <w:tcW w:w="4253" w:type="dxa"/>
            <w:noWrap w:val="0"/>
            <w:vAlign w:val="center"/>
          </w:tcPr>
          <w:p>
            <w:pPr>
              <w:jc w:val="center"/>
              <w:rPr>
                <w:rFonts w:hint="eastAsia" w:ascii="宋体" w:hAnsi="宋体"/>
                <w:color w:val="000000"/>
                <w:sz w:val="18"/>
                <w:szCs w:val="18"/>
              </w:rPr>
            </w:pPr>
            <w:r>
              <w:rPr>
                <w:rFonts w:hint="eastAsia" w:ascii="宋体" w:hAnsi="宋体"/>
                <w:color w:val="000000"/>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305" w:type="dxa"/>
            <w:vMerge w:val="continue"/>
            <w:noWrap w:val="0"/>
            <w:vAlign w:val="center"/>
          </w:tcPr>
          <w:p>
            <w:pPr>
              <w:spacing w:line="276" w:lineRule="auto"/>
              <w:jc w:val="center"/>
              <w:rPr>
                <w:rFonts w:ascii="宋体" w:hAnsi="宋体"/>
                <w:color w:val="000000"/>
                <w:szCs w:val="21"/>
              </w:rPr>
            </w:pPr>
          </w:p>
        </w:tc>
        <w:tc>
          <w:tcPr>
            <w:tcW w:w="3231" w:type="dxa"/>
            <w:gridSpan w:val="2"/>
            <w:noWrap w:val="0"/>
            <w:vAlign w:val="top"/>
          </w:tcPr>
          <w:p>
            <w:pPr>
              <w:jc w:val="left"/>
              <w:rPr>
                <w:rFonts w:hint="eastAsia" w:hAnsi="宋体"/>
                <w:sz w:val="18"/>
                <w:szCs w:val="18"/>
              </w:rPr>
            </w:pPr>
            <w:r>
              <w:rPr>
                <w:rFonts w:hint="eastAsia" w:hAnsi="宋体"/>
                <w:color w:val="000000"/>
                <w:szCs w:val="21"/>
              </w:rPr>
              <w:t>*</w:t>
            </w:r>
            <w:r>
              <w:rPr>
                <w:rFonts w:hint="eastAsia" w:hAnsi="宋体"/>
                <w:sz w:val="18"/>
                <w:szCs w:val="18"/>
              </w:rPr>
              <w:t>流性指数n</w:t>
            </w:r>
            <w:r>
              <w:rPr>
                <w:rFonts w:hint="eastAsia" w:hAnsi="宋体"/>
                <w:b/>
                <w:color w:val="FF0000"/>
                <w:sz w:val="18"/>
                <w:szCs w:val="18"/>
              </w:rPr>
              <w:t xml:space="preserve">  </w:t>
            </w:r>
            <w:r>
              <w:rPr>
                <w:rFonts w:hint="eastAsia" w:hAnsi="宋体"/>
                <w:sz w:val="18"/>
                <w:szCs w:val="18"/>
              </w:rPr>
              <w:t xml:space="preserve">                   ≥</w:t>
            </w:r>
          </w:p>
        </w:tc>
        <w:tc>
          <w:tcPr>
            <w:tcW w:w="4253" w:type="dxa"/>
            <w:noWrap w:val="0"/>
            <w:vAlign w:val="top"/>
          </w:tcPr>
          <w:p>
            <w:pPr>
              <w:jc w:val="center"/>
              <w:rPr>
                <w:rFonts w:hint="eastAsia" w:hAnsi="宋体"/>
                <w:sz w:val="18"/>
                <w:szCs w:val="18"/>
              </w:rPr>
            </w:pPr>
            <w:r>
              <w:rPr>
                <w:rFonts w:hint="eastAsia" w:hAnsi="宋体"/>
                <w:sz w:val="18"/>
                <w:szCs w:val="18"/>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305" w:type="dxa"/>
            <w:vMerge w:val="continue"/>
            <w:noWrap w:val="0"/>
            <w:vAlign w:val="center"/>
          </w:tcPr>
          <w:p>
            <w:pPr>
              <w:spacing w:line="276" w:lineRule="auto"/>
              <w:jc w:val="center"/>
              <w:rPr>
                <w:rFonts w:ascii="宋体" w:hAnsi="宋体"/>
                <w:color w:val="000000"/>
                <w:szCs w:val="21"/>
              </w:rPr>
            </w:pPr>
          </w:p>
        </w:tc>
        <w:tc>
          <w:tcPr>
            <w:tcW w:w="3231" w:type="dxa"/>
            <w:gridSpan w:val="2"/>
            <w:noWrap w:val="0"/>
            <w:vAlign w:val="top"/>
          </w:tcPr>
          <w:p>
            <w:pPr>
              <w:jc w:val="left"/>
              <w:rPr>
                <w:rFonts w:hint="eastAsia" w:hAnsi="宋体"/>
                <w:sz w:val="18"/>
                <w:szCs w:val="18"/>
              </w:rPr>
            </w:pPr>
            <w:r>
              <w:rPr>
                <w:rFonts w:hint="eastAsia" w:hAnsi="宋体"/>
                <w:color w:val="000000"/>
                <w:szCs w:val="21"/>
              </w:rPr>
              <w:t>*</w:t>
            </w:r>
            <w:r>
              <w:rPr>
                <w:rFonts w:hint="eastAsia" w:hAnsi="宋体"/>
                <w:sz w:val="18"/>
                <w:szCs w:val="18"/>
              </w:rPr>
              <w:t>稠度系数K ，Pa.S</w:t>
            </w:r>
            <w:r>
              <w:rPr>
                <w:rFonts w:hint="eastAsia" w:hAnsi="宋体"/>
                <w:sz w:val="18"/>
                <w:szCs w:val="18"/>
                <w:vertAlign w:val="superscript"/>
              </w:rPr>
              <w:t>n</w:t>
            </w:r>
            <w:r>
              <w:rPr>
                <w:rFonts w:hint="eastAsia" w:hAnsi="宋体"/>
                <w:sz w:val="18"/>
                <w:szCs w:val="18"/>
              </w:rPr>
              <w:t xml:space="preserve">              ≤</w:t>
            </w:r>
          </w:p>
        </w:tc>
        <w:tc>
          <w:tcPr>
            <w:tcW w:w="4253" w:type="dxa"/>
            <w:noWrap w:val="0"/>
            <w:vAlign w:val="top"/>
          </w:tcPr>
          <w:p>
            <w:pPr>
              <w:jc w:val="center"/>
              <w:rPr>
                <w:rFonts w:hint="eastAsia" w:hAnsi="宋体"/>
                <w:sz w:val="18"/>
                <w:szCs w:val="18"/>
              </w:rPr>
            </w:pPr>
            <w:r>
              <w:rPr>
                <w:rFonts w:hint="eastAsia" w:hAnsi="宋体"/>
                <w:sz w:val="18"/>
                <w:szCs w:val="18"/>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305" w:type="dxa"/>
            <w:vMerge w:val="continue"/>
            <w:noWrap w:val="0"/>
            <w:vAlign w:val="center"/>
          </w:tcPr>
          <w:p>
            <w:pPr>
              <w:spacing w:line="276" w:lineRule="auto"/>
              <w:jc w:val="center"/>
              <w:rPr>
                <w:rFonts w:ascii="宋体" w:hAnsi="宋体"/>
                <w:color w:val="000000"/>
                <w:szCs w:val="21"/>
              </w:rPr>
            </w:pPr>
          </w:p>
        </w:tc>
        <w:tc>
          <w:tcPr>
            <w:tcW w:w="3231" w:type="dxa"/>
            <w:gridSpan w:val="2"/>
            <w:noWrap w:val="0"/>
            <w:vAlign w:val="top"/>
          </w:tcPr>
          <w:p>
            <w:pPr>
              <w:jc w:val="left"/>
              <w:rPr>
                <w:rFonts w:hint="eastAsia" w:hAnsi="宋体"/>
                <w:sz w:val="18"/>
                <w:szCs w:val="18"/>
              </w:rPr>
            </w:pPr>
            <w:r>
              <w:rPr>
                <w:rFonts w:hint="eastAsia" w:hAnsi="宋体"/>
                <w:color w:val="000000"/>
                <w:szCs w:val="21"/>
              </w:rPr>
              <w:t>*</w:t>
            </w:r>
            <w:r>
              <w:rPr>
                <w:rFonts w:hint="eastAsia" w:hAnsi="宋体"/>
                <w:sz w:val="18"/>
                <w:szCs w:val="18"/>
              </w:rPr>
              <w:t>抗压强度之比(67℃，常压)        ≥</w:t>
            </w:r>
          </w:p>
        </w:tc>
        <w:tc>
          <w:tcPr>
            <w:tcW w:w="4253" w:type="dxa"/>
            <w:noWrap w:val="0"/>
            <w:vAlign w:val="top"/>
          </w:tcPr>
          <w:p>
            <w:pPr>
              <w:jc w:val="center"/>
              <w:rPr>
                <w:rFonts w:hint="eastAsia" w:hAnsi="宋体"/>
                <w:sz w:val="18"/>
                <w:szCs w:val="18"/>
              </w:rPr>
            </w:pPr>
            <w:r>
              <w:rPr>
                <w:rFonts w:hint="eastAsia" w:hAnsi="宋体"/>
                <w:sz w:val="18"/>
                <w:szCs w:val="18"/>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305" w:type="dxa"/>
            <w:vMerge w:val="continue"/>
            <w:noWrap w:val="0"/>
            <w:vAlign w:val="center"/>
          </w:tcPr>
          <w:p>
            <w:pPr>
              <w:spacing w:line="276" w:lineRule="auto"/>
              <w:jc w:val="center"/>
              <w:rPr>
                <w:rFonts w:ascii="宋体" w:hAnsi="宋体"/>
                <w:color w:val="000000"/>
                <w:szCs w:val="21"/>
              </w:rPr>
            </w:pPr>
          </w:p>
        </w:tc>
        <w:tc>
          <w:tcPr>
            <w:tcW w:w="3231" w:type="dxa"/>
            <w:gridSpan w:val="2"/>
            <w:noWrap w:val="0"/>
            <w:vAlign w:val="top"/>
          </w:tcPr>
          <w:p>
            <w:pPr>
              <w:jc w:val="left"/>
              <w:rPr>
                <w:rFonts w:hint="eastAsia" w:hAnsi="宋体"/>
                <w:sz w:val="18"/>
                <w:szCs w:val="18"/>
              </w:rPr>
            </w:pPr>
            <w:r>
              <w:rPr>
                <w:rFonts w:hint="eastAsia" w:hAnsi="宋体"/>
                <w:color w:val="000000"/>
                <w:szCs w:val="21"/>
              </w:rPr>
              <w:t>*</w:t>
            </w:r>
            <w:r>
              <w:rPr>
                <w:rFonts w:hint="eastAsia" w:hAnsi="宋体"/>
                <w:sz w:val="18"/>
                <w:szCs w:val="18"/>
              </w:rPr>
              <w:t>稠化时间之比(52℃，35.6MPa)</w:t>
            </w:r>
          </w:p>
        </w:tc>
        <w:tc>
          <w:tcPr>
            <w:tcW w:w="4253" w:type="dxa"/>
            <w:noWrap w:val="0"/>
            <w:vAlign w:val="top"/>
          </w:tcPr>
          <w:p>
            <w:pPr>
              <w:jc w:val="center"/>
              <w:rPr>
                <w:rFonts w:hint="eastAsia" w:hAnsi="宋体"/>
                <w:sz w:val="18"/>
                <w:szCs w:val="18"/>
              </w:rPr>
            </w:pPr>
            <w:r>
              <w:rPr>
                <w:rFonts w:hAnsi="宋体"/>
                <w:sz w:val="18"/>
                <w:szCs w:val="18"/>
              </w:rPr>
              <w:t>1.0</w:t>
            </w:r>
            <w:r>
              <w:rPr>
                <w:rFonts w:hint="eastAsia" w:hAnsi="宋体"/>
                <w:sz w:val="18"/>
                <w:szCs w:val="18"/>
              </w:rPr>
              <w:t>～</w:t>
            </w:r>
            <w:r>
              <w:rPr>
                <w:rFonts w:hAnsi="宋体"/>
                <w:sz w:val="18"/>
                <w:szCs w:val="1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305" w:type="dxa"/>
            <w:vMerge w:val="continue"/>
            <w:noWrap w:val="0"/>
            <w:vAlign w:val="center"/>
          </w:tcPr>
          <w:p>
            <w:pPr>
              <w:spacing w:line="276" w:lineRule="auto"/>
              <w:jc w:val="center"/>
              <w:rPr>
                <w:rFonts w:ascii="宋体" w:hAnsi="宋体"/>
                <w:color w:val="000000"/>
                <w:szCs w:val="21"/>
              </w:rPr>
            </w:pPr>
          </w:p>
        </w:tc>
        <w:tc>
          <w:tcPr>
            <w:tcW w:w="3231" w:type="dxa"/>
            <w:gridSpan w:val="2"/>
            <w:noWrap w:val="0"/>
            <w:vAlign w:val="top"/>
          </w:tcPr>
          <w:p>
            <w:pPr>
              <w:jc w:val="left"/>
              <w:rPr>
                <w:rFonts w:hint="eastAsia" w:hAnsi="宋体"/>
                <w:sz w:val="18"/>
                <w:szCs w:val="18"/>
              </w:rPr>
            </w:pPr>
            <w:r>
              <w:rPr>
                <w:rFonts w:hint="eastAsia" w:hAnsi="宋体"/>
                <w:color w:val="000000"/>
                <w:szCs w:val="21"/>
              </w:rPr>
              <w:t>*</w:t>
            </w:r>
            <w:r>
              <w:rPr>
                <w:rFonts w:hint="eastAsia" w:hAnsi="宋体"/>
                <w:sz w:val="18"/>
                <w:szCs w:val="18"/>
              </w:rPr>
              <w:t>稠化线形</w:t>
            </w:r>
          </w:p>
        </w:tc>
        <w:tc>
          <w:tcPr>
            <w:tcW w:w="4253" w:type="dxa"/>
            <w:noWrap w:val="0"/>
            <w:vAlign w:val="top"/>
          </w:tcPr>
          <w:p>
            <w:pPr>
              <w:jc w:val="center"/>
              <w:rPr>
                <w:rFonts w:hAnsi="宋体"/>
                <w:sz w:val="18"/>
                <w:szCs w:val="18"/>
              </w:rPr>
            </w:pPr>
            <w:r>
              <w:rPr>
                <w:rFonts w:hint="eastAsia" w:hAnsi="宋体"/>
                <w:sz w:val="18"/>
                <w:szCs w:val="18"/>
              </w:rPr>
              <w:t>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5" w:type="dxa"/>
            <w:noWrap w:val="0"/>
            <w:vAlign w:val="center"/>
          </w:tcPr>
          <w:p>
            <w:pPr>
              <w:spacing w:line="276" w:lineRule="auto"/>
              <w:jc w:val="center"/>
              <w:rPr>
                <w:rFonts w:ascii="宋体" w:hAnsi="宋体"/>
                <w:color w:val="000000"/>
                <w:szCs w:val="21"/>
              </w:rPr>
            </w:pPr>
            <w:r>
              <w:rPr>
                <w:rFonts w:hint="eastAsia" w:ascii="宋体" w:hAnsi="宋体"/>
                <w:color w:val="000000"/>
                <w:szCs w:val="21"/>
              </w:rPr>
              <w:t>2</w:t>
            </w:r>
          </w:p>
        </w:tc>
        <w:tc>
          <w:tcPr>
            <w:tcW w:w="1551" w:type="dxa"/>
            <w:noWrap w:val="0"/>
            <w:vAlign w:val="center"/>
          </w:tcPr>
          <w:p>
            <w:pPr>
              <w:spacing w:line="276" w:lineRule="auto"/>
              <w:jc w:val="center"/>
              <w:rPr>
                <w:rFonts w:ascii="宋体" w:hAnsi="宋体"/>
                <w:szCs w:val="21"/>
              </w:rPr>
            </w:pPr>
            <w:r>
              <w:rPr>
                <w:rFonts w:hint="eastAsia" w:ascii="宋体" w:hAnsi="宋体"/>
                <w:szCs w:val="21"/>
              </w:rPr>
              <w:t>*</w:t>
            </w:r>
            <w:r>
              <w:rPr>
                <w:rFonts w:ascii="宋体" w:hAnsi="宋体"/>
                <w:szCs w:val="21"/>
              </w:rPr>
              <w:t>产品质量检测</w:t>
            </w:r>
          </w:p>
        </w:tc>
        <w:tc>
          <w:tcPr>
            <w:tcW w:w="5933" w:type="dxa"/>
            <w:gridSpan w:val="2"/>
            <w:noWrap w:val="0"/>
            <w:vAlign w:val="center"/>
          </w:tcPr>
          <w:p>
            <w:pPr>
              <w:numPr>
                <w:ilvl w:val="0"/>
                <w:numId w:val="2"/>
              </w:numPr>
              <w:spacing w:line="276" w:lineRule="auto"/>
              <w:jc w:val="left"/>
              <w:rPr>
                <w:rFonts w:hint="eastAsia" w:ascii="宋体" w:hAnsi="宋体"/>
                <w:color w:val="000000"/>
                <w:szCs w:val="21"/>
              </w:rPr>
            </w:pPr>
            <w:r>
              <w:rPr>
                <w:rFonts w:hint="eastAsia" w:ascii="宋体" w:hAnsi="宋体"/>
                <w:color w:val="000000"/>
                <w:szCs w:val="21"/>
              </w:rPr>
              <w:t>投标方需按投标产品相对应的招标技术要求，送样至具有CMA或CNAS检验资质的第三方质量检测机构进行产品原料技术指标与水泥浆配伍性质量检测，提供检测机构出具的质量检测报告。</w:t>
            </w:r>
          </w:p>
          <w:p>
            <w:pPr>
              <w:numPr>
                <w:ilvl w:val="0"/>
                <w:numId w:val="2"/>
              </w:numPr>
              <w:spacing w:line="276" w:lineRule="auto"/>
              <w:jc w:val="left"/>
              <w:rPr>
                <w:rFonts w:ascii="宋体" w:hAnsi="宋体"/>
                <w:szCs w:val="21"/>
              </w:rPr>
            </w:pPr>
            <w:r>
              <w:rPr>
                <w:rFonts w:hint="eastAsia" w:ascii="宋体" w:hAnsi="宋体"/>
                <w:szCs w:val="21"/>
              </w:rPr>
              <w:t>标的物技术指标</w:t>
            </w:r>
            <w:r>
              <w:rPr>
                <w:rFonts w:ascii="宋体" w:hAnsi="宋体"/>
                <w:szCs w:val="21"/>
              </w:rPr>
              <w:t>检测方法中</w:t>
            </w:r>
            <w:r>
              <w:rPr>
                <w:rFonts w:hint="eastAsia" w:ascii="宋体" w:hAnsi="宋体"/>
                <w:szCs w:val="21"/>
              </w:rPr>
              <w:t>的</w:t>
            </w:r>
            <w:r>
              <w:rPr>
                <w:rFonts w:ascii="宋体" w:hAnsi="宋体"/>
                <w:szCs w:val="21"/>
              </w:rPr>
              <w:t>样品</w:t>
            </w:r>
            <w:r>
              <w:rPr>
                <w:rFonts w:hint="eastAsia" w:ascii="宋体" w:hAnsi="宋体"/>
                <w:szCs w:val="21"/>
              </w:rPr>
              <w:t>由具有CMA或CNAS检验资质的第三方质量检测机构检测</w:t>
            </w:r>
            <w:r>
              <w:rPr>
                <w:rFonts w:ascii="宋体" w:hAnsi="宋体"/>
                <w:szCs w:val="21"/>
              </w:rPr>
              <w:t>，</w:t>
            </w:r>
            <w:r>
              <w:rPr>
                <w:rFonts w:hint="eastAsia" w:ascii="宋体" w:hAnsi="宋体"/>
                <w:szCs w:val="21"/>
              </w:rPr>
              <w:t>并</w:t>
            </w:r>
            <w:r>
              <w:rPr>
                <w:rFonts w:ascii="宋体" w:hAnsi="宋体"/>
                <w:szCs w:val="21"/>
              </w:rPr>
              <w:t>由该</w:t>
            </w:r>
            <w:r>
              <w:rPr>
                <w:rFonts w:hint="eastAsia" w:ascii="宋体" w:hAnsi="宋体"/>
                <w:szCs w:val="21"/>
              </w:rPr>
              <w:t>检测</w:t>
            </w:r>
            <w:r>
              <w:rPr>
                <w:rFonts w:ascii="宋体" w:hAnsi="宋体"/>
                <w:szCs w:val="21"/>
              </w:rPr>
              <w:t>机构留存，用于后续合同</w:t>
            </w:r>
            <w:r>
              <w:rPr>
                <w:rFonts w:hint="eastAsia" w:ascii="宋体" w:hAnsi="宋体"/>
                <w:szCs w:val="21"/>
              </w:rPr>
              <w:t>履行</w:t>
            </w:r>
            <w:r>
              <w:rPr>
                <w:rFonts w:ascii="宋体" w:hAnsi="宋体"/>
                <w:szCs w:val="21"/>
              </w:rPr>
              <w:t>期间产品质量出现争议时的仲裁。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8789" w:type="dxa"/>
            <w:gridSpan w:val="4"/>
            <w:noWrap w:val="0"/>
            <w:vAlign w:val="center"/>
          </w:tcPr>
          <w:p>
            <w:pPr>
              <w:spacing w:line="276" w:lineRule="auto"/>
              <w:jc w:val="center"/>
              <w:rPr>
                <w:rFonts w:hint="eastAsia" w:ascii="宋体" w:hAnsi="宋体"/>
                <w:b/>
                <w:bCs/>
                <w:color w:val="000000"/>
                <w:szCs w:val="21"/>
              </w:rPr>
            </w:pPr>
            <w:r>
              <w:rPr>
                <w:rFonts w:hint="eastAsia" w:ascii="宋体" w:hAnsi="宋体" w:cs="宋体"/>
                <w:b/>
                <w:color w:val="000000"/>
                <w:kern w:val="0"/>
                <w:szCs w:val="21"/>
              </w:rPr>
              <w:t>磺化醛酮缩聚物减水剂</w:t>
            </w:r>
            <w:r>
              <w:rPr>
                <w:rFonts w:ascii="宋体" w:hAnsi="宋体"/>
                <w:b/>
                <w:bCs/>
                <w:color w:val="000000"/>
                <w:szCs w:val="21"/>
              </w:rPr>
              <w:t>技术指标检测方法</w:t>
            </w:r>
          </w:p>
          <w:p>
            <w:pPr>
              <w:numPr>
                <w:ilvl w:val="0"/>
                <w:numId w:val="3"/>
              </w:numPr>
              <w:rPr>
                <w:rFonts w:hAnsi="宋体"/>
                <w:color w:val="000000"/>
                <w:szCs w:val="21"/>
              </w:rPr>
            </w:pPr>
            <w:r>
              <w:rPr>
                <w:rFonts w:hint="eastAsia" w:hAnsi="宋体"/>
                <w:color w:val="000000"/>
                <w:szCs w:val="21"/>
              </w:rPr>
              <w:t>原材料技术指标</w:t>
            </w:r>
          </w:p>
          <w:p>
            <w:pPr>
              <w:ind w:left="420"/>
              <w:rPr>
                <w:rFonts w:hint="eastAsia" w:hAnsi="宋体"/>
                <w:color w:val="000000"/>
                <w:szCs w:val="21"/>
              </w:rPr>
            </w:pPr>
            <w:r>
              <w:rPr>
                <w:rFonts w:hint="eastAsia" w:hAnsi="宋体"/>
                <w:color w:val="000000"/>
                <w:szCs w:val="21"/>
              </w:rPr>
              <w:t xml:space="preserve">细度：用 0.315 mm 孔径的试验筛，按 </w:t>
            </w:r>
            <w:r>
              <w:rPr>
                <w:rFonts w:hAnsi="宋体"/>
                <w:color w:val="000000"/>
                <w:szCs w:val="21"/>
              </w:rPr>
              <w:t xml:space="preserve">GB/T </w:t>
            </w:r>
            <w:r>
              <w:rPr>
                <w:rFonts w:hint="eastAsia" w:hAnsi="宋体"/>
                <w:color w:val="000000"/>
                <w:szCs w:val="21"/>
              </w:rPr>
              <w:t>8077-</w:t>
            </w:r>
            <w:r>
              <w:rPr>
                <w:rFonts w:hAnsi="宋体"/>
                <w:color w:val="000000"/>
                <w:szCs w:val="21"/>
              </w:rPr>
              <w:t>20</w:t>
            </w:r>
            <w:r>
              <w:rPr>
                <w:rFonts w:hint="eastAsia" w:hAnsi="宋体"/>
                <w:color w:val="000000"/>
                <w:szCs w:val="21"/>
              </w:rPr>
              <w:t>12 第 8 章的规定进行。</w:t>
            </w:r>
          </w:p>
          <w:p>
            <w:pPr>
              <w:rPr>
                <w:rFonts w:hint="eastAsia" w:hAnsi="宋体"/>
                <w:color w:val="000000"/>
                <w:szCs w:val="21"/>
              </w:rPr>
            </w:pPr>
            <w:r>
              <w:rPr>
                <w:rFonts w:hint="eastAsia" w:hAnsi="宋体"/>
                <w:color w:val="000000"/>
                <w:szCs w:val="21"/>
              </w:rPr>
              <w:t>2、水泥浆指标</w:t>
            </w:r>
          </w:p>
          <w:p>
            <w:pPr>
              <w:pStyle w:val="11"/>
              <w:numPr>
                <w:ilvl w:val="3"/>
                <w:numId w:val="0"/>
              </w:numPr>
              <w:ind w:firstLine="400" w:firstLineChars="200"/>
              <w:rPr>
                <w:rFonts w:hint="eastAsia" w:ascii="黑体" w:hAnsi="黑体"/>
              </w:rPr>
            </w:pPr>
            <w:r>
              <w:rPr>
                <w:rFonts w:hint="eastAsia" w:ascii="黑体" w:hAnsi="黑体"/>
              </w:rPr>
              <w:t>（1）抗压强度之比</w:t>
            </w:r>
          </w:p>
          <w:p>
            <w:pPr>
              <w:pStyle w:val="12"/>
              <w:rPr>
                <w:rFonts w:hint="eastAsia" w:hAnsi="宋体"/>
                <w:szCs w:val="21"/>
              </w:rPr>
            </w:pPr>
            <w:r>
              <w:rPr>
                <w:rFonts w:hint="eastAsia" w:hAnsi="宋体"/>
              </w:rPr>
              <w:t>制备水泥样浆和基浆，在</w:t>
            </w:r>
            <w:r>
              <w:rPr>
                <w:rFonts w:hint="eastAsia" w:hAnsi="宋体"/>
                <w:szCs w:val="21"/>
              </w:rPr>
              <w:t>温度67℃、21MPa条件下，</w:t>
            </w:r>
            <w:r>
              <w:rPr>
                <w:rFonts w:hint="eastAsia" w:hAnsi="宋体"/>
              </w:rPr>
              <w:t>按</w:t>
            </w:r>
            <w:r>
              <w:rPr>
                <w:rFonts w:hAnsi="宋体"/>
              </w:rPr>
              <w:t>SY/T 5504.</w:t>
            </w:r>
            <w:r>
              <w:rPr>
                <w:rFonts w:hint="eastAsia" w:hAnsi="宋体"/>
              </w:rPr>
              <w:t>3</w:t>
            </w:r>
            <w:r>
              <w:rPr>
                <w:rFonts w:hAnsi="宋体"/>
                <w:szCs w:val="21"/>
              </w:rPr>
              <w:t>—</w:t>
            </w:r>
            <w:r>
              <w:rPr>
                <w:rFonts w:hAnsi="宋体"/>
              </w:rPr>
              <w:t>200</w:t>
            </w:r>
            <w:r>
              <w:rPr>
                <w:rFonts w:hint="eastAsia" w:hAnsi="宋体"/>
              </w:rPr>
              <w:t>8</w:t>
            </w:r>
            <w:r>
              <w:rPr>
                <w:rFonts w:hint="eastAsia" w:hAnsi="宋体"/>
                <w:szCs w:val="21"/>
              </w:rPr>
              <w:t>的规定测定基浆的抗压强度P</w:t>
            </w:r>
            <w:r>
              <w:rPr>
                <w:rFonts w:hint="eastAsia" w:hAnsi="宋体"/>
                <w:szCs w:val="21"/>
                <w:vertAlign w:val="subscript"/>
              </w:rPr>
              <w:t>1</w:t>
            </w:r>
            <w:r>
              <w:rPr>
                <w:rFonts w:hint="eastAsia" w:hAnsi="宋体"/>
                <w:szCs w:val="21"/>
              </w:rPr>
              <w:t>和样浆的抗压强度P</w:t>
            </w:r>
            <w:r>
              <w:rPr>
                <w:rFonts w:hint="eastAsia" w:hAnsi="宋体"/>
                <w:szCs w:val="21"/>
                <w:vertAlign w:val="subscript"/>
              </w:rPr>
              <w:t>2</w:t>
            </w:r>
            <w:r>
              <w:rPr>
                <w:rFonts w:hint="eastAsia" w:hAnsi="宋体"/>
                <w:szCs w:val="21"/>
              </w:rPr>
              <w:t xml:space="preserve">。 </w:t>
            </w:r>
          </w:p>
          <w:p>
            <w:pPr>
              <w:pStyle w:val="11"/>
              <w:numPr>
                <w:ilvl w:val="3"/>
                <w:numId w:val="0"/>
              </w:numPr>
              <w:ind w:firstLine="300" w:firstLineChars="150"/>
              <w:rPr>
                <w:rFonts w:hint="eastAsia" w:ascii="黑体" w:hAnsi="黑体"/>
              </w:rPr>
            </w:pPr>
            <w:r>
              <w:rPr>
                <w:rFonts w:hint="eastAsia" w:ascii="黑体" w:hAnsi="黑体"/>
              </w:rPr>
              <w:t>（2</w:t>
            </w:r>
            <w:r>
              <w:rPr>
                <w:rFonts w:ascii="黑体" w:hAnsi="黑体"/>
              </w:rPr>
              <w:t>）</w:t>
            </w:r>
            <w:r>
              <w:rPr>
                <w:rFonts w:hint="eastAsia" w:ascii="黑体" w:hAnsi="黑体"/>
              </w:rPr>
              <w:t>流变性能</w:t>
            </w:r>
          </w:p>
          <w:p>
            <w:pPr>
              <w:pStyle w:val="12"/>
              <w:rPr>
                <w:rFonts w:hint="eastAsia" w:hAnsi="宋体"/>
                <w:szCs w:val="21"/>
              </w:rPr>
            </w:pPr>
            <w:r>
              <w:rPr>
                <w:rFonts w:hint="eastAsia" w:hAnsi="宋体"/>
                <w:szCs w:val="21"/>
              </w:rPr>
              <w:t>按</w:t>
            </w:r>
            <w:r>
              <w:rPr>
                <w:rFonts w:hAnsi="宋体"/>
                <w:szCs w:val="21"/>
              </w:rPr>
              <w:t>SY/T 5504.</w:t>
            </w:r>
            <w:r>
              <w:rPr>
                <w:rFonts w:hint="eastAsia" w:hAnsi="宋体"/>
                <w:szCs w:val="21"/>
              </w:rPr>
              <w:t>3</w:t>
            </w:r>
            <w:r>
              <w:rPr>
                <w:rFonts w:hAnsi="宋体"/>
                <w:szCs w:val="21"/>
              </w:rPr>
              <w:t>—200</w:t>
            </w:r>
            <w:r>
              <w:rPr>
                <w:rFonts w:hint="eastAsia" w:hAnsi="宋体"/>
                <w:szCs w:val="21"/>
              </w:rPr>
              <w:t>8</w:t>
            </w:r>
            <w:r>
              <w:rPr>
                <w:rFonts w:hint="eastAsia" w:hAnsi="宋体"/>
                <w:b/>
                <w:color w:val="FF0000"/>
              </w:rPr>
              <w:t xml:space="preserve"> </w:t>
            </w:r>
            <w:r>
              <w:rPr>
                <w:rFonts w:hint="eastAsia" w:hAnsi="宋体"/>
                <w:szCs w:val="21"/>
              </w:rPr>
              <w:t>的规定执行。试验温度为52℃。</w:t>
            </w:r>
          </w:p>
          <w:p>
            <w:pPr>
              <w:pStyle w:val="11"/>
              <w:numPr>
                <w:ilvl w:val="3"/>
                <w:numId w:val="0"/>
              </w:numPr>
              <w:ind w:firstLine="400" w:firstLineChars="200"/>
              <w:rPr>
                <w:rFonts w:hint="eastAsia" w:ascii="黑体" w:hAnsi="黑体"/>
              </w:rPr>
            </w:pPr>
            <w:r>
              <w:rPr>
                <w:rFonts w:hint="eastAsia" w:ascii="黑体" w:hAnsi="黑体"/>
              </w:rPr>
              <w:t>(3)稠化时间之比和稠化线形</w:t>
            </w:r>
          </w:p>
          <w:p>
            <w:pPr>
              <w:tabs>
                <w:tab w:val="left" w:pos="360"/>
                <w:tab w:val="left" w:pos="540"/>
              </w:tabs>
              <w:ind w:firstLine="400" w:firstLineChars="200"/>
              <w:rPr>
                <w:rFonts w:hint="eastAsia" w:hAnsi="宋体"/>
              </w:rPr>
            </w:pPr>
            <w:r>
              <w:rPr>
                <w:rFonts w:hint="eastAsia" w:hAnsi="宋体"/>
              </w:rPr>
              <w:t>在试验温度52℃，压力为35.6MPa条件下，按</w:t>
            </w:r>
            <w:r>
              <w:rPr>
                <w:rFonts w:hAnsi="宋体"/>
              </w:rPr>
              <w:t>SY/T 5504.</w:t>
            </w:r>
            <w:r>
              <w:rPr>
                <w:rFonts w:hint="eastAsia" w:hAnsi="宋体"/>
              </w:rPr>
              <w:t>3</w:t>
            </w:r>
            <w:r>
              <w:rPr>
                <w:rFonts w:hAnsi="宋体"/>
              </w:rPr>
              <w:t>—200</w:t>
            </w:r>
            <w:r>
              <w:rPr>
                <w:rFonts w:hint="eastAsia" w:hAnsi="宋体"/>
              </w:rPr>
              <w:t>8的规定执行。</w:t>
            </w:r>
          </w:p>
          <w:p>
            <w:pPr>
              <w:spacing w:line="276" w:lineRule="auto"/>
              <w:ind w:firstLine="420"/>
              <w:rPr>
                <w:rFonts w:ascii="宋体" w:hAnsi="宋体"/>
                <w:szCs w:val="21"/>
              </w:rPr>
            </w:pPr>
          </w:p>
          <w:p>
            <w:pPr>
              <w:spacing w:line="276" w:lineRule="auto"/>
              <w:ind w:firstLine="420"/>
              <w:rPr>
                <w:rFonts w:ascii="宋体" w:hAnsi="宋体"/>
                <w:b/>
                <w:bCs/>
                <w:color w:val="000000"/>
              </w:rPr>
            </w:pPr>
          </w:p>
        </w:tc>
      </w:tr>
    </w:tbl>
    <w:p>
      <w:bookmarkStart w:id="8" w:name="_GoBack"/>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A00002EF" w:usb1="4000207B" w:usb2="00000000" w:usb3="00000000" w:csb0="2000019F" w:csb1="00000000"/>
  </w:font>
  <w:font w:name="方正黑体简体">
    <w:altName w:val="Arial Unicode MS"/>
    <w:panose1 w:val="02010601030101010101"/>
    <w:charset w:val="86"/>
    <w:family w:val="script"/>
    <w:pitch w:val="default"/>
    <w:sig w:usb0="00000000" w:usb1="00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E3C98"/>
    <w:multiLevelType w:val="multilevel"/>
    <w:tmpl w:val="031E3C98"/>
    <w:lvl w:ilvl="0" w:tentative="0">
      <w:start w:val="1"/>
      <w:numFmt w:val="decimal"/>
      <w:lvlText w:val="%1、"/>
      <w:lvlJc w:val="left"/>
      <w:pPr>
        <w:ind w:left="360" w:hanging="360"/>
      </w:pPr>
      <w:rPr>
        <w:rFonts w:hint="default"/>
        <w:b/>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8D20D14"/>
    <w:multiLevelType w:val="multilevel"/>
    <w:tmpl w:val="38D20D1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FB537C2"/>
    <w:multiLevelType w:val="multilevel"/>
    <w:tmpl w:val="6FB537C2"/>
    <w:lvl w:ilvl="0" w:tentative="0">
      <w:start w:val="1"/>
      <w:numFmt w:val="decimal"/>
      <w:lvlText w:val="%1"/>
      <w:lvlJc w:val="left"/>
      <w:pPr>
        <w:tabs>
          <w:tab w:val="left" w:pos="832"/>
        </w:tabs>
        <w:ind w:left="832" w:hanging="360"/>
      </w:pPr>
      <w:rPr>
        <w:rFonts w:hint="default"/>
      </w:rPr>
    </w:lvl>
    <w:lvl w:ilvl="1" w:tentative="0">
      <w:start w:val="1"/>
      <w:numFmt w:val="lowerLetter"/>
      <w:lvlText w:val="%2)"/>
      <w:lvlJc w:val="left"/>
      <w:pPr>
        <w:tabs>
          <w:tab w:val="left" w:pos="1312"/>
        </w:tabs>
        <w:ind w:left="1312" w:hanging="420"/>
      </w:pPr>
    </w:lvl>
    <w:lvl w:ilvl="2" w:tentative="0">
      <w:start w:val="1"/>
      <w:numFmt w:val="lowerRoman"/>
      <w:lvlText w:val="%3."/>
      <w:lvlJc w:val="right"/>
      <w:pPr>
        <w:tabs>
          <w:tab w:val="left" w:pos="1732"/>
        </w:tabs>
        <w:ind w:left="1732" w:hanging="420"/>
      </w:pPr>
    </w:lvl>
    <w:lvl w:ilvl="3" w:tentative="0">
      <w:start w:val="1"/>
      <w:numFmt w:val="decimal"/>
      <w:pStyle w:val="11"/>
      <w:lvlText w:val="%4."/>
      <w:lvlJc w:val="left"/>
      <w:pPr>
        <w:tabs>
          <w:tab w:val="left" w:pos="2152"/>
        </w:tabs>
        <w:ind w:left="2152" w:hanging="420"/>
      </w:pPr>
    </w:lvl>
    <w:lvl w:ilvl="4" w:tentative="0">
      <w:start w:val="1"/>
      <w:numFmt w:val="lowerLetter"/>
      <w:lvlText w:val="%5)"/>
      <w:lvlJc w:val="left"/>
      <w:pPr>
        <w:tabs>
          <w:tab w:val="left" w:pos="2572"/>
        </w:tabs>
        <w:ind w:left="2572" w:hanging="420"/>
      </w:pPr>
    </w:lvl>
    <w:lvl w:ilvl="5" w:tentative="0">
      <w:start w:val="1"/>
      <w:numFmt w:val="lowerRoman"/>
      <w:lvlText w:val="%6."/>
      <w:lvlJc w:val="right"/>
      <w:pPr>
        <w:tabs>
          <w:tab w:val="left" w:pos="2992"/>
        </w:tabs>
        <w:ind w:left="2992" w:hanging="420"/>
      </w:pPr>
    </w:lvl>
    <w:lvl w:ilvl="6" w:tentative="0">
      <w:start w:val="1"/>
      <w:numFmt w:val="decimal"/>
      <w:lvlText w:val="%7."/>
      <w:lvlJc w:val="left"/>
      <w:pPr>
        <w:tabs>
          <w:tab w:val="left" w:pos="3412"/>
        </w:tabs>
        <w:ind w:left="3412" w:hanging="420"/>
      </w:pPr>
    </w:lvl>
    <w:lvl w:ilvl="7" w:tentative="0">
      <w:start w:val="1"/>
      <w:numFmt w:val="lowerLetter"/>
      <w:lvlText w:val="%8)"/>
      <w:lvlJc w:val="left"/>
      <w:pPr>
        <w:tabs>
          <w:tab w:val="left" w:pos="3832"/>
        </w:tabs>
        <w:ind w:left="3832" w:hanging="420"/>
      </w:pPr>
    </w:lvl>
    <w:lvl w:ilvl="8" w:tentative="0">
      <w:start w:val="1"/>
      <w:numFmt w:val="lowerRoman"/>
      <w:lvlText w:val="%9."/>
      <w:lvlJc w:val="right"/>
      <w:pPr>
        <w:tabs>
          <w:tab w:val="left" w:pos="4252"/>
        </w:tabs>
        <w:ind w:left="4252"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C62EEE"/>
    <w:rsid w:val="04C62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cs="Arial" w:eastAsiaTheme="minorEastAsia"/>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paragraph" w:customStyle="1" w:styleId="9">
    <w:name w:val="中文正文、"/>
    <w:basedOn w:val="1"/>
    <w:qFormat/>
    <w:uiPriority w:val="0"/>
    <w:pPr>
      <w:widowControl w:val="0"/>
      <w:spacing w:line="360" w:lineRule="auto"/>
      <w:ind w:firstLine="420" w:firstLineChars="200"/>
    </w:pPr>
    <w:rPr>
      <w:rFonts w:ascii="Times New Roman" w:hAnsi="Times New Roman" w:eastAsia="宋体" w:cs="Times New Roman"/>
      <w:kern w:val="2"/>
      <w:sz w:val="21"/>
      <w:szCs w:val="21"/>
    </w:rPr>
  </w:style>
  <w:style w:type="paragraph" w:customStyle="1" w:styleId="10">
    <w:name w:val="Default"/>
    <w:qFormat/>
    <w:uiPriority w:val="0"/>
    <w:pPr>
      <w:widowControl w:val="0"/>
      <w:autoSpaceDE w:val="0"/>
      <w:autoSpaceDN w:val="0"/>
      <w:adjustRightInd w:val="0"/>
    </w:pPr>
    <w:rPr>
      <w:rFonts w:ascii="黑体" w:hAnsi="黑体" w:cs="黑体" w:eastAsiaTheme="minorEastAsia"/>
      <w:color w:val="000000"/>
      <w:sz w:val="24"/>
      <w:szCs w:val="24"/>
      <w:lang w:val="en-US" w:eastAsia="zh-CN" w:bidi="ar-SA"/>
    </w:rPr>
  </w:style>
  <w:style w:type="paragraph" w:customStyle="1" w:styleId="11">
    <w:name w:val="二级条标题"/>
    <w:basedOn w:val="1"/>
    <w:next w:val="12"/>
    <w:qFormat/>
    <w:uiPriority w:val="0"/>
    <w:pPr>
      <w:widowControl/>
      <w:numPr>
        <w:ilvl w:val="3"/>
        <w:numId w:val="1"/>
      </w:numPr>
      <w:jc w:val="left"/>
      <w:outlineLvl w:val="3"/>
    </w:pPr>
    <w:rPr>
      <w:rFonts w:eastAsia="黑体"/>
      <w:kern w:val="0"/>
      <w:szCs w:val="20"/>
    </w:rPr>
  </w:style>
  <w:style w:type="paragraph" w:customStyle="1" w:styleId="1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2020-07-16T08:30:00Z</dcterms:created>
  <dc:creator>上帝是个G</dc:creator>
  <cp:lastModifiedBy>上帝是个G</cp:lastModifiedBy>
  <dcterms:modified xsi:type="dcterms:W3CDTF">2020-07-16T08:31:33Z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