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88" w:lineRule="auto"/>
        <w:jc w:val="center"/>
        <w:rPr>
          <w:rFonts w:hint="eastAsia" w:eastAsia="黑体"/>
          <w:kern w:val="2"/>
          <w:sz w:val="28"/>
          <w:szCs w:val="28"/>
        </w:rPr>
      </w:pPr>
      <w:r>
        <w:rPr>
          <w:rFonts w:hint="eastAsia" w:eastAsia="黑体"/>
          <w:kern w:val="2"/>
          <w:sz w:val="28"/>
          <w:szCs w:val="28"/>
        </w:rPr>
        <w:t>吉林油田</w:t>
      </w:r>
      <w:r>
        <w:rPr>
          <w:rFonts w:hint="eastAsia" w:ascii="黑体" w:eastAsia="黑体" w:cs="黑体"/>
          <w:color w:val="0000C8"/>
          <w:kern w:val="2"/>
          <w:sz w:val="28"/>
          <w:szCs w:val="28"/>
          <w:lang w:eastAsia="zh-CN"/>
        </w:rPr>
        <w:t>数据采集传输远动监测系统</w:t>
      </w:r>
      <w:r>
        <w:rPr>
          <w:rFonts w:hint="eastAsia" w:eastAsia="黑体"/>
          <w:kern w:val="2"/>
          <w:sz w:val="28"/>
          <w:szCs w:val="28"/>
        </w:rPr>
        <w:t>物资采购招标公告</w:t>
      </w:r>
    </w:p>
    <w:p>
      <w:pPr>
        <w:spacing w:line="288" w:lineRule="auto"/>
        <w:ind w:firstLine="420"/>
        <w:jc w:val="right"/>
        <w:rPr>
          <w:rFonts w:hint="eastAsia" w:ascii="黑体" w:hAnsi="黑体" w:eastAsia="黑体" w:cs="黑体"/>
          <w:color w:val="0000CC"/>
          <w:sz w:val="28"/>
          <w:szCs w:val="28"/>
          <w:u w:val="single"/>
          <w:lang w:eastAsia="zh-CN"/>
        </w:rPr>
      </w:pPr>
      <w:r>
        <w:t xml:space="preserve">                                </w:t>
      </w:r>
      <w:r>
        <w:rPr>
          <w:rFonts w:hint="eastAsia" w:eastAsia="黑体"/>
          <w:kern w:val="2"/>
          <w:sz w:val="28"/>
          <w:szCs w:val="28"/>
          <w:lang w:val="zh-CN"/>
        </w:rPr>
        <w:t>招标编号：</w:t>
      </w:r>
      <w:r>
        <w:rPr>
          <w:rFonts w:hint="eastAsia" w:ascii="黑体" w:hAnsi="黑体" w:eastAsia="黑体" w:cs="黑体"/>
          <w:sz w:val="28"/>
          <w:szCs w:val="28"/>
          <w:lang w:eastAsia="zh-CN"/>
        </w:rPr>
        <w:t>JLYT-ZBZX-2020-WZ-144</w:t>
      </w:r>
    </w:p>
    <w:p>
      <w:pPr>
        <w:spacing w:line="288" w:lineRule="auto"/>
        <w:ind w:firstLine="420"/>
        <w:jc w:val="right"/>
        <w:rPr>
          <w:rFonts w:hint="eastAsia" w:ascii="黑体" w:hAnsi="黑体" w:eastAsia="黑体" w:cs="黑体"/>
          <w:color w:val="0000CC"/>
          <w:sz w:val="28"/>
          <w:szCs w:val="28"/>
          <w:u w:val="single"/>
        </w:rPr>
      </w:pPr>
    </w:p>
    <w:p>
      <w:pPr>
        <w:rPr>
          <w:rFonts w:ascii="Arial" w:hAnsi="Arial" w:eastAsia="黑体"/>
          <w:b/>
          <w:bCs/>
          <w:kern w:val="2"/>
          <w:sz w:val="32"/>
          <w:szCs w:val="32"/>
        </w:rPr>
      </w:pPr>
      <w:bookmarkStart w:id="0" w:name="_Toc347086849"/>
      <w:bookmarkStart w:id="1" w:name="_Toc347086983"/>
      <w:bookmarkStart w:id="2" w:name="_Toc347209678"/>
      <w:bookmarkStart w:id="3" w:name="_Toc489354666"/>
      <w:bookmarkStart w:id="4" w:name="_Toc520895294"/>
      <w:bookmarkStart w:id="5" w:name="_Toc17902421"/>
      <w:r>
        <w:rPr>
          <w:rFonts w:hint="eastAsia" w:ascii="Arial" w:hAnsi="Arial" w:eastAsia="黑体"/>
          <w:b/>
          <w:bCs/>
          <w:kern w:val="2"/>
          <w:sz w:val="32"/>
          <w:szCs w:val="32"/>
        </w:rPr>
        <w:t>1.招标条件</w:t>
      </w:r>
      <w:bookmarkEnd w:id="0"/>
      <w:bookmarkEnd w:id="1"/>
      <w:bookmarkEnd w:id="2"/>
      <w:bookmarkEnd w:id="3"/>
      <w:bookmarkEnd w:id="4"/>
      <w:bookmarkEnd w:id="5"/>
    </w:p>
    <w:p>
      <w:pPr>
        <w:overflowPunct w:val="0"/>
        <w:spacing w:line="288" w:lineRule="auto"/>
        <w:ind w:firstLine="420"/>
        <w:rPr>
          <w:rFonts w:hAnsi="宋体" w:cs="宋体"/>
          <w:szCs w:val="21"/>
        </w:rPr>
      </w:pPr>
      <w:bookmarkStart w:id="6" w:name="_Toc347086984"/>
      <w:bookmarkStart w:id="7" w:name="_Toc347209679"/>
      <w:bookmarkStart w:id="8" w:name="_Toc347086850"/>
      <w:r>
        <w:rPr>
          <w:rFonts w:hint="eastAsia"/>
          <w:kern w:val="2"/>
          <w:sz w:val="21"/>
          <w:szCs w:val="21"/>
        </w:rPr>
        <w:t>本招标项目招标人为中国石油天然气股份有限公司吉林油田分公司，招标机构为中国石油天然气股份有限公司吉林油田分公司招标中心。招标项目资金（资金来源）已落实，该项目已具备招标条件，现进行公开招标。</w:t>
      </w:r>
    </w:p>
    <w:p>
      <w:pPr>
        <w:rPr>
          <w:rFonts w:ascii="Arial" w:hAnsi="Arial" w:eastAsia="黑体"/>
          <w:b/>
          <w:bCs/>
          <w:kern w:val="2"/>
          <w:sz w:val="32"/>
          <w:szCs w:val="32"/>
        </w:rPr>
      </w:pPr>
      <w:bookmarkStart w:id="9" w:name="_Toc489354667"/>
      <w:bookmarkStart w:id="10" w:name="_Toc520895295"/>
      <w:bookmarkStart w:id="11" w:name="_Toc17902422"/>
      <w:r>
        <w:rPr>
          <w:rFonts w:hint="eastAsia" w:ascii="Arial" w:hAnsi="Arial" w:eastAsia="黑体"/>
          <w:b/>
          <w:bCs/>
          <w:kern w:val="2"/>
          <w:sz w:val="32"/>
          <w:szCs w:val="32"/>
        </w:rPr>
        <w:t>2.项目概况与招标范围</w:t>
      </w:r>
      <w:bookmarkEnd w:id="6"/>
      <w:bookmarkEnd w:id="7"/>
      <w:bookmarkEnd w:id="8"/>
      <w:bookmarkEnd w:id="9"/>
      <w:bookmarkEnd w:id="10"/>
      <w:bookmarkEnd w:id="11"/>
      <w:r>
        <w:rPr>
          <w:rFonts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2.1项目概况</w:t>
      </w:r>
    </w:p>
    <w:p>
      <w:pPr>
        <w:spacing w:line="288" w:lineRule="auto"/>
        <w:ind w:firstLine="420" w:firstLineChars="200"/>
        <w:rPr>
          <w:rFonts w:hint="eastAsia" w:ascii="宋体" w:hAnsi="宋体" w:cs="宋体"/>
          <w:color w:val="0000C8"/>
          <w:sz w:val="21"/>
          <w:szCs w:val="21"/>
          <w:u w:val="single"/>
        </w:rPr>
      </w:pPr>
      <w:r>
        <w:rPr>
          <w:rFonts w:hint="eastAsia" w:ascii="宋体" w:hAnsi="宋体" w:cs="宋体"/>
          <w:sz w:val="21"/>
          <w:szCs w:val="21"/>
        </w:rPr>
        <w:t>2.1.1本项目预计采购金额</w:t>
      </w:r>
      <w:r>
        <w:rPr>
          <w:rFonts w:hint="eastAsia" w:ascii="宋体" w:hAnsi="宋体" w:cs="宋体"/>
          <w:color w:val="0000C8"/>
          <w:sz w:val="21"/>
          <w:szCs w:val="21"/>
          <w:lang w:val="en-US" w:eastAsia="zh-CN"/>
        </w:rPr>
        <w:t>600</w:t>
      </w:r>
      <w:r>
        <w:rPr>
          <w:rFonts w:hint="eastAsia" w:ascii="宋体" w:hAnsi="宋体" w:cs="宋体"/>
          <w:color w:val="0000C8"/>
          <w:sz w:val="21"/>
          <w:szCs w:val="21"/>
        </w:rPr>
        <w:t>万元（不含增值税），定商定价不定量</w:t>
      </w:r>
      <w:r>
        <w:rPr>
          <w:rFonts w:hint="eastAsia" w:ascii="宋体" w:hAnsi="宋体" w:cs="宋体"/>
          <w:sz w:val="21"/>
          <w:szCs w:val="21"/>
        </w:rPr>
        <w:t>采购，</w:t>
      </w:r>
      <w:r>
        <w:rPr>
          <w:rFonts w:hint="eastAsia" w:ascii="宋体" w:hAnsi="宋体" w:cs="宋体"/>
          <w:color w:val="0000C8"/>
          <w:sz w:val="21"/>
          <w:szCs w:val="21"/>
        </w:rPr>
        <w:t>需求数量以实际发生为准。项目执行期限为合同签订之日起</w:t>
      </w:r>
      <w:r>
        <w:rPr>
          <w:rFonts w:hint="eastAsia" w:ascii="宋体" w:hAnsi="宋体" w:cs="宋体"/>
          <w:color w:val="0000C8"/>
          <w:sz w:val="21"/>
          <w:szCs w:val="21"/>
          <w:lang w:eastAsia="zh-CN"/>
        </w:rPr>
        <w:t>两</w:t>
      </w:r>
      <w:r>
        <w:rPr>
          <w:rFonts w:hint="eastAsia" w:ascii="宋体" w:hAnsi="宋体" w:cs="宋体"/>
          <w:color w:val="0000C8"/>
          <w:sz w:val="21"/>
          <w:szCs w:val="21"/>
        </w:rPr>
        <w:t>年。</w:t>
      </w:r>
      <w:r>
        <w:rPr>
          <w:rFonts w:hint="eastAsia" w:ascii="宋体" w:hAnsi="宋体" w:cs="宋体"/>
          <w:color w:val="0000C8"/>
          <w:sz w:val="21"/>
          <w:szCs w:val="21"/>
          <w:lang w:val="zh-CN"/>
        </w:rPr>
        <w:t>中标结果执行期满或本项目中标供应商实际签订合同总金额达到标包上限时本项目中标结果终止</w:t>
      </w:r>
      <w:r>
        <w:rPr>
          <w:rFonts w:hint="eastAsia" w:ascii="宋体" w:hAnsi="宋体" w:cs="宋体"/>
          <w:color w:val="0000C8"/>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2.1.2 实施或交货地点：</w:t>
      </w:r>
      <w:r>
        <w:rPr>
          <w:rFonts w:hint="eastAsia" w:ascii="宋体" w:hAnsi="宋体" w:cs="宋体"/>
          <w:color w:val="0000C8"/>
          <w:sz w:val="21"/>
          <w:szCs w:val="21"/>
        </w:rPr>
        <w:t>按签定合同中需方指定地点；</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2.1.3交货期或供货周期：</w:t>
      </w:r>
      <w:r>
        <w:rPr>
          <w:rFonts w:hint="eastAsia" w:ascii="宋体" w:hAnsi="宋体" w:cs="宋体"/>
          <w:color w:val="0000C8"/>
          <w:sz w:val="21"/>
          <w:szCs w:val="21"/>
          <w:lang w:val="zh-CN"/>
        </w:rPr>
        <w:t>订单下发之日起，30日内货物到达甲方指定地点</w:t>
      </w:r>
      <w:r>
        <w:rPr>
          <w:rFonts w:hint="eastAsia" w:ascii="宋体" w:hAnsi="宋体" w:cs="宋体"/>
          <w:color w:val="0000FF"/>
          <w:kern w:val="0"/>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2.1.4运输方式：</w:t>
      </w:r>
      <w:r>
        <w:rPr>
          <w:rFonts w:hint="eastAsia" w:ascii="宋体" w:hAnsi="宋体" w:cs="宋体"/>
          <w:kern w:val="0"/>
          <w:sz w:val="21"/>
          <w:szCs w:val="21"/>
        </w:rPr>
        <w:t>公路运输</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2.1.5交货方式：乙方送货；</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2.1.6验收方式：按技术要求及合同相关条款验收；</w:t>
      </w:r>
    </w:p>
    <w:p>
      <w:pPr>
        <w:spacing w:line="288" w:lineRule="auto"/>
        <w:ind w:firstLine="420" w:firstLineChars="200"/>
        <w:rPr>
          <w:rFonts w:hint="eastAsia" w:ascii="宋体" w:hAnsi="宋体" w:cs="宋体"/>
          <w:color w:val="0000CC"/>
          <w:sz w:val="21"/>
          <w:szCs w:val="21"/>
        </w:rPr>
      </w:pPr>
      <w:r>
        <w:rPr>
          <w:rFonts w:hint="eastAsia" w:ascii="宋体" w:hAnsi="宋体" w:cs="宋体"/>
          <w:sz w:val="21"/>
          <w:szCs w:val="21"/>
        </w:rPr>
        <w:t>2.1.7质量保证期：</w:t>
      </w:r>
      <w:r>
        <w:rPr>
          <w:rFonts w:hint="eastAsia" w:ascii="宋体" w:hAnsi="宋体" w:cs="宋体"/>
          <w:color w:val="0000C8"/>
          <w:sz w:val="21"/>
          <w:szCs w:val="21"/>
        </w:rPr>
        <w:t>自验收合格之日起</w:t>
      </w:r>
      <w:r>
        <w:rPr>
          <w:rFonts w:hint="eastAsia" w:ascii="宋体" w:hAnsi="宋体" w:cs="宋体"/>
          <w:color w:val="0000C8"/>
          <w:sz w:val="21"/>
          <w:szCs w:val="21"/>
          <w:lang w:eastAsia="zh-CN"/>
        </w:rPr>
        <w:t>壹</w:t>
      </w:r>
      <w:r>
        <w:rPr>
          <w:rFonts w:hint="eastAsia" w:ascii="宋体" w:hAnsi="宋体" w:cs="宋体"/>
          <w:color w:val="0000C8"/>
          <w:sz w:val="21"/>
          <w:szCs w:val="21"/>
        </w:rPr>
        <w:t>年</w:t>
      </w:r>
      <w:r>
        <w:rPr>
          <w:rFonts w:hint="eastAsia" w:ascii="宋体" w:hAnsi="宋体" w:cs="宋体"/>
          <w:color w:val="0000CC"/>
          <w:sz w:val="21"/>
          <w:szCs w:val="21"/>
        </w:rPr>
        <w:t>；</w:t>
      </w:r>
    </w:p>
    <w:p>
      <w:pPr>
        <w:spacing w:line="288" w:lineRule="auto"/>
        <w:ind w:firstLine="420" w:firstLineChars="200"/>
        <w:rPr>
          <w:rFonts w:hint="eastAsia" w:ascii="宋体" w:hAnsi="宋体" w:cs="宋体"/>
          <w:color w:val="333333"/>
          <w:sz w:val="21"/>
          <w:szCs w:val="21"/>
        </w:rPr>
      </w:pPr>
      <w:r>
        <w:rPr>
          <w:rFonts w:hint="eastAsia" w:ascii="宋体" w:hAnsi="宋体" w:cs="宋体"/>
          <w:sz w:val="21"/>
          <w:szCs w:val="21"/>
        </w:rPr>
        <w:t>2.1.8质量标准或技术要求：</w:t>
      </w:r>
      <w:r>
        <w:rPr>
          <w:rFonts w:hint="eastAsia" w:ascii="宋体" w:hAnsi="宋体" w:cs="宋体"/>
          <w:color w:val="333333"/>
          <w:sz w:val="21"/>
          <w:szCs w:val="21"/>
        </w:rPr>
        <w:t>详见《附件2：技术要求》。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2.2招标范围</w:t>
      </w:r>
    </w:p>
    <w:p>
      <w:pPr>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2.2.1货物名称及规格：详见《附件1：货物需求一览表》；</w:t>
      </w:r>
    </w:p>
    <w:p>
      <w:pPr>
        <w:spacing w:line="288"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2.2.2标包划分</w:t>
      </w:r>
      <w:r>
        <w:rPr>
          <w:rFonts w:hint="eastAsia" w:ascii="宋体" w:hAnsi="宋体" w:cs="宋体"/>
          <w:sz w:val="21"/>
          <w:szCs w:val="21"/>
          <w:highlight w:val="none"/>
          <w:lang w:eastAsia="zh-CN"/>
        </w:rPr>
        <w:t>：</w:t>
      </w:r>
      <w:r>
        <w:rPr>
          <w:rFonts w:hint="eastAsia" w:ascii="宋体" w:hAnsi="宋体" w:cs="宋体"/>
          <w:color w:val="0000C8"/>
          <w:sz w:val="21"/>
          <w:szCs w:val="21"/>
          <w:highlight w:val="none"/>
          <w:lang w:val="en-US" w:eastAsia="zh-CN"/>
        </w:rPr>
        <w:t>1</w:t>
      </w:r>
      <w:r>
        <w:rPr>
          <w:rFonts w:hint="eastAsia" w:ascii="宋体" w:hAnsi="宋体" w:cs="宋体"/>
          <w:color w:val="0000C8"/>
          <w:sz w:val="21"/>
          <w:szCs w:val="21"/>
          <w:highlight w:val="none"/>
        </w:rPr>
        <w:t>个标包</w:t>
      </w:r>
      <w:r>
        <w:rPr>
          <w:rFonts w:hint="eastAsia" w:ascii="宋体" w:hAnsi="宋体" w:cs="宋体"/>
          <w:color w:val="0000C8"/>
          <w:sz w:val="21"/>
          <w:szCs w:val="21"/>
          <w:highlight w:val="none"/>
          <w:lang w:eastAsia="zh-CN"/>
        </w:rPr>
        <w:t>；</w:t>
      </w:r>
    </w:p>
    <w:p>
      <w:pPr>
        <w:spacing w:line="288" w:lineRule="auto"/>
        <w:ind w:firstLine="420" w:firstLineChars="200"/>
        <w:rPr>
          <w:rFonts w:hint="eastAsia" w:ascii="宋体" w:hAnsi="宋体" w:cs="宋体"/>
          <w:color w:val="0000CC"/>
          <w:sz w:val="21"/>
          <w:szCs w:val="21"/>
          <w:highlight w:val="none"/>
        </w:rPr>
      </w:pPr>
      <w:r>
        <w:rPr>
          <w:rFonts w:hint="eastAsia" w:ascii="宋体" w:hAnsi="宋体" w:cs="宋体"/>
          <w:sz w:val="21"/>
          <w:szCs w:val="21"/>
          <w:highlight w:val="none"/>
          <w:lang w:val="en-US" w:eastAsia="zh-CN"/>
        </w:rPr>
        <w:t>2.2.3</w:t>
      </w:r>
      <w:r>
        <w:rPr>
          <w:rFonts w:hint="eastAsia" w:ascii="宋体" w:hAnsi="宋体" w:cs="宋体"/>
          <w:sz w:val="21"/>
          <w:szCs w:val="21"/>
          <w:highlight w:val="none"/>
        </w:rPr>
        <w:t>中标人数量：</w:t>
      </w:r>
      <w:r>
        <w:rPr>
          <w:rFonts w:hint="eastAsia" w:ascii="宋体" w:hAnsi="宋体" w:cs="宋体"/>
          <w:color w:val="0000C8"/>
          <w:sz w:val="21"/>
          <w:szCs w:val="21"/>
          <w:highlight w:val="none"/>
        </w:rPr>
        <w:t>每个标包拟确定</w:t>
      </w:r>
      <w:r>
        <w:rPr>
          <w:rFonts w:hint="eastAsia" w:ascii="宋体" w:hAnsi="宋体" w:cs="宋体"/>
          <w:color w:val="0000C8"/>
          <w:sz w:val="21"/>
          <w:szCs w:val="21"/>
          <w:highlight w:val="none"/>
          <w:lang w:val="en-US" w:eastAsia="zh-CN"/>
        </w:rPr>
        <w:t>1</w:t>
      </w:r>
      <w:r>
        <w:rPr>
          <w:rFonts w:hint="eastAsia" w:ascii="宋体" w:hAnsi="宋体" w:cs="宋体"/>
          <w:color w:val="0000C8"/>
          <w:sz w:val="21"/>
          <w:szCs w:val="21"/>
          <w:highlight w:val="none"/>
        </w:rPr>
        <w:t>家中标人</w:t>
      </w:r>
      <w:r>
        <w:rPr>
          <w:rFonts w:hint="eastAsia" w:ascii="宋体" w:hAnsi="宋体" w:cs="宋体"/>
          <w:color w:val="0000CC"/>
          <w:sz w:val="21"/>
          <w:szCs w:val="21"/>
          <w:highlight w:val="none"/>
        </w:rPr>
        <w:t>；</w:t>
      </w:r>
    </w:p>
    <w:p>
      <w:pPr>
        <w:spacing w:line="288" w:lineRule="auto"/>
        <w:ind w:firstLine="420" w:firstLineChars="200"/>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2.2.4 工作量分配方案或原则：</w:t>
      </w:r>
      <w:r>
        <w:rPr>
          <w:rFonts w:hint="eastAsia" w:ascii="宋体" w:hAnsi="宋体" w:cs="宋体"/>
          <w:color w:val="0000C8"/>
          <w:sz w:val="21"/>
          <w:szCs w:val="21"/>
          <w:highlight w:val="none"/>
          <w:lang w:val="en-US" w:eastAsia="zh-CN"/>
        </w:rPr>
        <w:t>100%。</w:t>
      </w:r>
    </w:p>
    <w:p>
      <w:pPr>
        <w:spacing w:line="288" w:lineRule="auto"/>
        <w:ind w:left="440" w:leftChars="200"/>
        <w:rPr>
          <w:rFonts w:hint="eastAsia" w:ascii="宋体" w:hAnsi="宋体" w:cs="宋体"/>
          <w:color w:val="333333"/>
          <w:sz w:val="21"/>
          <w:szCs w:val="21"/>
        </w:rPr>
      </w:pPr>
      <w:r>
        <w:rPr>
          <w:rFonts w:hint="eastAsia" w:ascii="宋体" w:hAnsi="宋体" w:cs="宋体"/>
          <w:color w:val="333333"/>
          <w:sz w:val="21"/>
          <w:szCs w:val="21"/>
        </w:rPr>
        <w:t>2.3其他</w:t>
      </w:r>
    </w:p>
    <w:p>
      <w:pPr>
        <w:spacing w:line="288" w:lineRule="auto"/>
        <w:ind w:left="440" w:leftChars="200"/>
        <w:rPr>
          <w:rFonts w:hint="default" w:ascii="宋体" w:hAnsi="宋体" w:eastAsia="宋体" w:cs="宋体"/>
          <w:color w:val="333333"/>
          <w:sz w:val="21"/>
          <w:szCs w:val="21"/>
          <w:highlight w:val="none"/>
          <w:lang w:val="en-US" w:eastAsia="zh-CN"/>
        </w:rPr>
      </w:pPr>
      <w:r>
        <w:rPr>
          <w:rFonts w:hint="eastAsia" w:ascii="宋体" w:hAnsi="宋体" w:cs="宋体"/>
          <w:color w:val="333333"/>
          <w:sz w:val="21"/>
          <w:szCs w:val="21"/>
          <w:highlight w:val="none"/>
          <w:lang w:val="en-US" w:eastAsia="zh-CN"/>
        </w:rPr>
        <w:t>2.3.1投标保证金：具体要求见招标文件投标人须知前附表3.4.1；</w:t>
      </w:r>
    </w:p>
    <w:p>
      <w:pPr>
        <w:spacing w:line="288" w:lineRule="auto"/>
        <w:ind w:left="440" w:leftChars="200"/>
        <w:rPr>
          <w:rFonts w:hint="eastAsia" w:ascii="宋体" w:hAnsi="宋体" w:cs="宋体"/>
          <w:color w:val="0000C8"/>
          <w:sz w:val="21"/>
          <w:szCs w:val="21"/>
        </w:rPr>
      </w:pPr>
      <w:r>
        <w:rPr>
          <w:rFonts w:hint="eastAsia" w:ascii="宋体" w:hAnsi="宋体" w:cs="宋体"/>
          <w:color w:val="333333"/>
          <w:sz w:val="21"/>
          <w:szCs w:val="21"/>
        </w:rPr>
        <w:t>2.3.</w:t>
      </w:r>
      <w:r>
        <w:rPr>
          <w:rFonts w:hint="eastAsia" w:ascii="宋体" w:hAnsi="宋体" w:cs="宋体"/>
          <w:color w:val="333333"/>
          <w:sz w:val="21"/>
          <w:szCs w:val="21"/>
          <w:lang w:val="en-US" w:eastAsia="zh-CN"/>
        </w:rPr>
        <w:t>2</w:t>
      </w:r>
      <w:r>
        <w:rPr>
          <w:rFonts w:hint="eastAsia" w:ascii="宋体" w:hAnsi="宋体" w:cs="宋体"/>
          <w:color w:val="333333"/>
          <w:sz w:val="21"/>
          <w:szCs w:val="21"/>
        </w:rPr>
        <w:t xml:space="preserve"> </w:t>
      </w:r>
      <w:r>
        <w:rPr>
          <w:rFonts w:hint="eastAsia" w:ascii="宋体" w:hAnsi="宋体" w:cs="宋体"/>
          <w:sz w:val="21"/>
          <w:szCs w:val="21"/>
        </w:rPr>
        <w:t>履约保证金：</w:t>
      </w:r>
      <w:r>
        <w:rPr>
          <w:rFonts w:hint="eastAsia" w:ascii="宋体" w:hAnsi="宋体" w:cs="宋体"/>
          <w:color w:val="0000C8"/>
          <w:sz w:val="21"/>
          <w:szCs w:val="21"/>
          <w:highlight w:val="none"/>
          <w:lang w:val="en-US" w:eastAsia="zh-CN"/>
        </w:rPr>
        <w:t>签订合同前，招标人向中标人收取履约保证金，按照合同标的金额（不含税）的2%收取；</w:t>
      </w:r>
      <w:r>
        <w:rPr>
          <w:rFonts w:hint="eastAsia" w:ascii="宋体" w:hAnsi="宋体" w:cs="宋体"/>
          <w:color w:val="0000C8"/>
          <w:sz w:val="21"/>
          <w:szCs w:val="21"/>
        </w:rPr>
        <w:t xml:space="preserve"> </w:t>
      </w:r>
    </w:p>
    <w:p>
      <w:pPr>
        <w:snapToGrid w:val="0"/>
        <w:spacing w:line="288"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rPr>
        <w:t>2.3.</w:t>
      </w:r>
      <w:r>
        <w:rPr>
          <w:rFonts w:hint="eastAsia" w:ascii="宋体" w:hAnsi="宋体" w:cs="宋体"/>
          <w:sz w:val="21"/>
          <w:szCs w:val="21"/>
          <w:lang w:val="en-US" w:eastAsia="zh-CN"/>
        </w:rPr>
        <w:t>3</w:t>
      </w:r>
      <w:r>
        <w:rPr>
          <w:rFonts w:hint="eastAsia" w:ascii="宋体" w:hAnsi="宋体" w:cs="宋体"/>
          <w:color w:val="auto"/>
          <w:sz w:val="21"/>
          <w:szCs w:val="21"/>
          <w:highlight w:val="none"/>
        </w:rPr>
        <w:t>服务费</w:t>
      </w:r>
      <w:r>
        <w:rPr>
          <w:rFonts w:hint="eastAsia" w:ascii="宋体" w:hAnsi="宋体" w:cs="宋体"/>
          <w:sz w:val="21"/>
          <w:szCs w:val="21"/>
          <w:highlight w:val="none"/>
        </w:rPr>
        <w:t>：</w:t>
      </w:r>
      <w:r>
        <w:rPr>
          <w:rFonts w:hint="eastAsia" w:ascii="宋体" w:hAnsi="宋体" w:cs="宋体"/>
          <w:color w:val="0000C8"/>
          <w:sz w:val="21"/>
          <w:szCs w:val="21"/>
          <w:highlight w:val="none"/>
          <w:lang w:val="en-US" w:eastAsia="zh-CN"/>
        </w:rPr>
        <w:t>每笔签订的采购订单，收取不含税挂账金额2%的服务费</w:t>
      </w:r>
      <w:r>
        <w:rPr>
          <w:rFonts w:hint="eastAsia" w:ascii="宋体" w:hAnsi="宋体" w:cs="宋体"/>
          <w:color w:val="0000C8"/>
          <w:sz w:val="21"/>
          <w:szCs w:val="21"/>
          <w:highlight w:val="none"/>
          <w:lang w:val="zh-CN" w:eastAsia="zh-CN"/>
        </w:rPr>
        <w:t>；</w:t>
      </w:r>
    </w:p>
    <w:p>
      <w:pPr>
        <w:snapToGrid w:val="0"/>
        <w:spacing w:line="288" w:lineRule="auto"/>
        <w:ind w:firstLine="420" w:firstLineChars="200"/>
        <w:rPr>
          <w:rFonts w:hint="eastAsia" w:ascii="宋体" w:hAnsi="宋体" w:cs="宋体"/>
          <w:color w:val="0000CC"/>
          <w:sz w:val="21"/>
          <w:szCs w:val="21"/>
          <w:highlight w:val="none"/>
        </w:rPr>
      </w:pPr>
      <w:r>
        <w:rPr>
          <w:rFonts w:hint="eastAsia" w:ascii="宋体" w:hAnsi="宋体" w:cs="宋体"/>
          <w:color w:val="0000C8"/>
          <w:sz w:val="21"/>
          <w:szCs w:val="21"/>
          <w:highlight w:val="none"/>
        </w:rPr>
        <w:t>2.3.</w:t>
      </w:r>
      <w:r>
        <w:rPr>
          <w:rFonts w:hint="eastAsia" w:ascii="宋体" w:hAnsi="宋体" w:cs="宋体"/>
          <w:color w:val="0000C8"/>
          <w:sz w:val="21"/>
          <w:szCs w:val="21"/>
          <w:highlight w:val="none"/>
          <w:lang w:val="en-US" w:eastAsia="zh-CN"/>
        </w:rPr>
        <w:t>4</w:t>
      </w:r>
      <w:r>
        <w:rPr>
          <w:rFonts w:hint="eastAsia" w:ascii="宋体" w:hAnsi="宋体" w:cs="宋体"/>
          <w:color w:val="0000C8"/>
          <w:sz w:val="21"/>
          <w:szCs w:val="21"/>
          <w:highlight w:val="none"/>
        </w:rPr>
        <w:t>其他：无。</w:t>
      </w:r>
    </w:p>
    <w:p>
      <w:bookmarkStart w:id="12" w:name="_Toc347086851"/>
      <w:bookmarkStart w:id="13" w:name="_Toc347086985"/>
      <w:bookmarkStart w:id="14" w:name="_Toc347209680"/>
      <w:bookmarkStart w:id="15" w:name="_Toc520895296"/>
      <w:bookmarkStart w:id="16" w:name="_Toc17902423"/>
      <w:r>
        <w:rPr>
          <w:rFonts w:hint="eastAsia" w:ascii="Arial" w:hAnsi="Arial" w:eastAsia="黑体"/>
          <w:b/>
          <w:bCs/>
          <w:kern w:val="2"/>
          <w:sz w:val="32"/>
          <w:szCs w:val="32"/>
        </w:rPr>
        <w:t>3.投标人资格要求</w:t>
      </w:r>
      <w:bookmarkEnd w:id="12"/>
      <w:bookmarkEnd w:id="13"/>
      <w:bookmarkEnd w:id="14"/>
      <w:bookmarkEnd w:id="15"/>
      <w:bookmarkEnd w:id="16"/>
    </w:p>
    <w:p>
      <w:pPr>
        <w:snapToGrid w:val="0"/>
        <w:spacing w:line="288" w:lineRule="auto"/>
        <w:ind w:firstLine="422" w:firstLineChars="200"/>
        <w:rPr>
          <w:rFonts w:hint="eastAsia" w:ascii="宋体" w:hAnsi="宋体" w:cs="宋体"/>
          <w:b/>
          <w:bCs/>
          <w:sz w:val="21"/>
          <w:szCs w:val="21"/>
        </w:rPr>
      </w:pPr>
      <w:bookmarkStart w:id="17" w:name="_Toc347209681"/>
      <w:bookmarkStart w:id="18" w:name="_Toc347086852"/>
      <w:bookmarkStart w:id="19" w:name="_Toc347086986"/>
      <w:bookmarkStart w:id="20" w:name="_Toc520895297"/>
      <w:r>
        <w:rPr>
          <w:rFonts w:hint="eastAsia" w:ascii="宋体" w:hAnsi="宋体" w:cs="宋体"/>
          <w:b/>
          <w:bCs/>
          <w:sz w:val="21"/>
          <w:szCs w:val="21"/>
        </w:rPr>
        <w:t>3.1商务资格条件</w:t>
      </w:r>
      <w:bookmarkStart w:id="40" w:name="_GoBack"/>
      <w:bookmarkEnd w:id="40"/>
    </w:p>
    <w:p>
      <w:pPr>
        <w:spacing w:line="288" w:lineRule="auto"/>
        <w:ind w:firstLine="420" w:firstLineChars="200"/>
        <w:jc w:val="left"/>
        <w:rPr>
          <w:rFonts w:hint="eastAsia" w:ascii="宋体" w:hAnsi="宋体" w:eastAsia="宋体" w:cs="宋体"/>
          <w:color w:val="0000FF"/>
          <w:sz w:val="21"/>
          <w:szCs w:val="21"/>
        </w:rPr>
      </w:pPr>
      <w:r>
        <w:rPr>
          <w:rFonts w:hint="eastAsia" w:ascii="宋体" w:hAnsi="宋体" w:eastAsia="宋体" w:cs="宋体"/>
          <w:color w:val="0000FF"/>
          <w:sz w:val="21"/>
          <w:szCs w:val="21"/>
        </w:rPr>
        <w:t>3.1.1境内注册的独立法人，提供营业执照，且经营范围符合本项目要求的制造商，注册资金500万以上（含500万）；</w:t>
      </w:r>
      <w:r>
        <w:rPr>
          <w:rFonts w:hint="eastAsia" w:ascii="宋体" w:hAnsi="宋体" w:eastAsia="宋体" w:cs="宋体"/>
          <w:color w:val="0000FF"/>
          <w:sz w:val="21"/>
          <w:szCs w:val="21"/>
          <w:lang w:eastAsia="zh-CN"/>
        </w:rPr>
        <w:t>（投标人须</w:t>
      </w:r>
      <w:r>
        <w:rPr>
          <w:rFonts w:hint="eastAsia" w:ascii="宋体" w:hAnsi="宋体" w:eastAsia="宋体" w:cs="宋体"/>
          <w:color w:val="0000FF"/>
          <w:sz w:val="21"/>
          <w:szCs w:val="21"/>
        </w:rPr>
        <w:t>提供营业执照</w:t>
      </w:r>
      <w:r>
        <w:rPr>
          <w:rFonts w:hint="eastAsia" w:ascii="宋体" w:hAnsi="宋体" w:eastAsia="宋体" w:cs="宋体"/>
          <w:color w:val="0000FF"/>
          <w:sz w:val="21"/>
          <w:szCs w:val="21"/>
          <w:lang w:eastAsia="zh-CN"/>
        </w:rPr>
        <w:t>和</w:t>
      </w:r>
      <w:r>
        <w:rPr>
          <w:rFonts w:hint="eastAsia" w:ascii="宋体" w:hAnsi="宋体" w:eastAsia="宋体" w:cs="宋体"/>
          <w:color w:val="0000FF"/>
          <w:sz w:val="21"/>
          <w:szCs w:val="21"/>
        </w:rPr>
        <w:t>国家企业信用信息公示系统</w:t>
      </w:r>
      <w:r>
        <w:rPr>
          <w:rFonts w:hint="eastAsia" w:ascii="宋体" w:hAnsi="宋体" w:eastAsia="宋体" w:cs="宋体"/>
          <w:color w:val="0000FF"/>
          <w:sz w:val="21"/>
          <w:szCs w:val="21"/>
          <w:lang w:eastAsia="zh-CN"/>
        </w:rPr>
        <w:t>经营范围截屏</w:t>
      </w:r>
      <w:r>
        <w:rPr>
          <w:rFonts w:hint="eastAsia" w:ascii="宋体" w:hAnsi="宋体" w:eastAsia="宋体" w:cs="宋体"/>
          <w:color w:val="0000FF"/>
          <w:sz w:val="21"/>
          <w:szCs w:val="21"/>
        </w:rPr>
        <w:t>；投标人营业执照登记信息</w:t>
      </w:r>
      <w:r>
        <w:rPr>
          <w:rFonts w:hint="eastAsia" w:ascii="宋体" w:hAnsi="宋体" w:eastAsia="宋体" w:cs="宋体"/>
          <w:color w:val="0000FF"/>
          <w:sz w:val="21"/>
          <w:szCs w:val="21"/>
          <w:lang w:eastAsia="zh-CN"/>
        </w:rPr>
        <w:t>和经营范围</w:t>
      </w:r>
      <w:r>
        <w:rPr>
          <w:rFonts w:hint="eastAsia" w:ascii="宋体" w:hAnsi="宋体" w:eastAsia="宋体" w:cs="宋体"/>
          <w:color w:val="0000FF"/>
          <w:sz w:val="21"/>
          <w:szCs w:val="21"/>
        </w:rPr>
        <w:t>须与“国家企业信用信息公示系统”信息一致</w:t>
      </w:r>
      <w:r>
        <w:rPr>
          <w:rFonts w:hint="eastAsia" w:ascii="宋体" w:hAnsi="宋体" w:eastAsia="宋体" w:cs="宋体"/>
          <w:color w:val="0000FF"/>
          <w:sz w:val="21"/>
          <w:szCs w:val="21"/>
          <w:lang w:eastAsia="zh-CN"/>
        </w:rPr>
        <w:t>，评审现场网络查询复核</w:t>
      </w:r>
      <w:r>
        <w:rPr>
          <w:rFonts w:hint="eastAsia" w:ascii="宋体" w:hAnsi="宋体" w:eastAsia="宋体" w:cs="宋体"/>
          <w:color w:val="0000FF"/>
          <w:sz w:val="21"/>
          <w:szCs w:val="21"/>
        </w:rPr>
        <w:t>）</w:t>
      </w:r>
      <w:r>
        <w:rPr>
          <w:rFonts w:hint="eastAsia" w:ascii="宋体" w:hAnsi="宋体" w:eastAsia="宋体" w:cs="宋体"/>
          <w:color w:val="0000FF"/>
          <w:kern w:val="2"/>
          <w:sz w:val="21"/>
          <w:szCs w:val="21"/>
          <w:lang w:val="en-US" w:eastAsia="zh-CN" w:bidi="ar-SA"/>
        </w:rPr>
        <w:t>；</w:t>
      </w:r>
    </w:p>
    <w:p>
      <w:pPr>
        <w:spacing w:line="288" w:lineRule="auto"/>
        <w:ind w:firstLine="420" w:firstLineChars="200"/>
        <w:jc w:val="left"/>
        <w:rPr>
          <w:rFonts w:hint="eastAsia" w:ascii="宋体" w:hAnsi="宋体" w:eastAsia="宋体" w:cs="宋体"/>
          <w:color w:val="0000FF"/>
          <w:kern w:val="2"/>
          <w:sz w:val="21"/>
          <w:szCs w:val="21"/>
          <w:lang w:val="en-US" w:eastAsia="zh-CN" w:bidi="ar-SA"/>
        </w:rPr>
      </w:pPr>
      <w:r>
        <w:rPr>
          <w:rFonts w:hint="eastAsia" w:ascii="宋体" w:hAnsi="宋体" w:eastAsia="宋体" w:cs="宋体"/>
          <w:color w:val="0000FF"/>
          <w:kern w:val="2"/>
          <w:sz w:val="21"/>
          <w:szCs w:val="21"/>
          <w:lang w:val="en-US" w:eastAsia="zh-CN" w:bidi="ar-SA"/>
        </w:rPr>
        <w:t>3.1.2提供会计师事务所出具标准的2019年度无保留意见审计报告（附资产负债表），且资产负债率低于100%，当年新成立公司和高等院校，不予提供相关财务信息和审计报告；</w:t>
      </w:r>
    </w:p>
    <w:p>
      <w:pPr>
        <w:pStyle w:val="4"/>
        <w:rPr>
          <w:rFonts w:hint="eastAsia" w:ascii="宋体" w:hAnsi="宋体" w:eastAsia="宋体" w:cs="宋体"/>
          <w:color w:val="0000FF"/>
          <w:kern w:val="2"/>
          <w:sz w:val="21"/>
          <w:szCs w:val="21"/>
          <w:lang w:val="en-US" w:eastAsia="zh-CN" w:bidi="ar-SA"/>
        </w:rPr>
      </w:pPr>
      <w:r>
        <w:rPr>
          <w:rFonts w:hint="eastAsia" w:ascii="宋体" w:hAnsi="宋体" w:eastAsia="宋体" w:cs="宋体"/>
          <w:color w:val="0000FF"/>
          <w:kern w:val="2"/>
          <w:sz w:val="21"/>
          <w:szCs w:val="21"/>
          <w:lang w:val="en-US" w:eastAsia="zh-CN" w:bidi="ar-SA"/>
        </w:rPr>
        <w:t>3.1.3</w:t>
      </w:r>
      <w:r>
        <w:rPr>
          <w:rFonts w:hint="eastAsia" w:ascii="宋体" w:hAnsi="宋体" w:eastAsia="宋体" w:cs="宋体"/>
          <w:color w:val="0000FF"/>
          <w:sz w:val="21"/>
          <w:szCs w:val="21"/>
        </w:rPr>
        <w:t>具有质量管理体系认证</w:t>
      </w:r>
      <w:r>
        <w:rPr>
          <w:rFonts w:hint="eastAsia" w:ascii="宋体" w:hAnsi="宋体" w:eastAsia="宋体" w:cs="宋体"/>
          <w:color w:val="0000FF"/>
          <w:sz w:val="21"/>
          <w:szCs w:val="21"/>
          <w:highlight w:val="none"/>
        </w:rPr>
        <w:t>，证书的认证范围包括</w:t>
      </w:r>
      <w:r>
        <w:rPr>
          <w:rFonts w:hint="eastAsia" w:ascii="宋体" w:hAnsi="宋体" w:eastAsia="宋体" w:cs="宋体"/>
          <w:color w:val="0000FF"/>
          <w:sz w:val="21"/>
          <w:szCs w:val="21"/>
        </w:rPr>
        <w:t>工业（电力）自动化产品。</w:t>
      </w:r>
      <w:r>
        <w:rPr>
          <w:rFonts w:hint="eastAsia" w:ascii="宋体" w:hAnsi="宋体" w:eastAsia="宋体" w:cs="宋体"/>
          <w:color w:val="0000FF"/>
          <w:kern w:val="2"/>
          <w:sz w:val="21"/>
          <w:szCs w:val="21"/>
          <w:lang w:val="en-US" w:eastAsia="zh-CN" w:bidi="ar-SA"/>
        </w:rPr>
        <w:t>（投标人须提供证书和中国国家认证认可监督管理委员会(http://www.cnca.gov.cn/）的认证结果查询截屏；评审现场网络查询复核）</w:t>
      </w:r>
    </w:p>
    <w:p>
      <w:pPr>
        <w:pStyle w:val="4"/>
        <w:rPr>
          <w:rFonts w:hint="eastAsia" w:ascii="宋体" w:hAnsi="宋体" w:eastAsia="宋体" w:cs="宋体"/>
          <w:color w:val="0000FF"/>
          <w:kern w:val="2"/>
          <w:sz w:val="21"/>
          <w:szCs w:val="21"/>
          <w:lang w:val="en-US" w:eastAsia="zh-CN" w:bidi="ar-SA"/>
        </w:rPr>
      </w:pPr>
      <w:r>
        <w:rPr>
          <w:rFonts w:hint="eastAsia" w:ascii="宋体" w:hAnsi="宋体" w:eastAsia="宋体" w:cs="宋体"/>
          <w:color w:val="0000FF"/>
          <w:kern w:val="2"/>
          <w:sz w:val="21"/>
          <w:szCs w:val="21"/>
          <w:lang w:val="en-US" w:eastAsia="zh-CN" w:bidi="ar-SA"/>
        </w:rPr>
        <w:t>3.1.4</w:t>
      </w:r>
      <w:r>
        <w:rPr>
          <w:rFonts w:hint="eastAsia" w:ascii="宋体" w:hAnsi="宋体" w:eastAsia="宋体" w:cs="宋体"/>
          <w:color w:val="0000FF"/>
          <w:sz w:val="21"/>
          <w:szCs w:val="21"/>
        </w:rPr>
        <w:t>具有环境管理体系认证和职业健康安全管理体系认证。</w:t>
      </w:r>
      <w:r>
        <w:rPr>
          <w:rFonts w:hint="eastAsia" w:ascii="宋体" w:hAnsi="宋体" w:eastAsia="宋体" w:cs="宋体"/>
          <w:color w:val="0000FF"/>
          <w:kern w:val="2"/>
          <w:sz w:val="21"/>
          <w:szCs w:val="21"/>
          <w:lang w:val="en-US" w:eastAsia="zh-CN" w:bidi="ar-SA"/>
        </w:rPr>
        <w:t>（投标人须提供证书和中国国家认证认可监督管理委员会(http://www.cnca.gov.cn/）的认证结果查询截屏；评审现场网络查询复核）；</w:t>
      </w:r>
    </w:p>
    <w:p>
      <w:pPr>
        <w:ind w:firstLine="420"/>
        <w:rPr>
          <w:rFonts w:hint="eastAsia" w:ascii="宋体" w:hAnsi="宋体" w:eastAsia="宋体" w:cs="宋体"/>
          <w:color w:val="0000FF"/>
          <w:sz w:val="21"/>
          <w:szCs w:val="21"/>
        </w:rPr>
      </w:pPr>
      <w:r>
        <w:rPr>
          <w:rFonts w:hint="eastAsia" w:ascii="宋体" w:hAnsi="宋体" w:eastAsia="宋体" w:cs="宋体"/>
          <w:color w:val="0000FF"/>
          <w:sz w:val="21"/>
          <w:szCs w:val="21"/>
        </w:rPr>
        <w:t>3.1.</w:t>
      </w:r>
      <w:r>
        <w:rPr>
          <w:rFonts w:hint="eastAsia" w:ascii="宋体" w:hAnsi="宋体" w:eastAsia="宋体" w:cs="宋体"/>
          <w:color w:val="0000FF"/>
          <w:sz w:val="21"/>
          <w:szCs w:val="21"/>
          <w:lang w:val="en-US" w:eastAsia="zh-CN"/>
        </w:rPr>
        <w:t>5近三年内(2017年1月1日至投标截止时间)，投标人在“国家企业信用信息公示系统”（www.gsxt.gov.cn），不存在与投标项目一致的“行政处罚信息”，不存在未移出的“列入经营异常名录信息”，不存在“列入严重违法失信企业名单（黑名单）信息”；并按要求进行年度报告。（投标人须提供“国家企业信用信息公示系统”关于“行政处罚信息”、“列入经营异常名录信息”、“列入严重违法失信企业名单（黑名单）信息”、“企业年报信息”的查询截屏，评审现场网络查询复核）</w:t>
      </w:r>
    </w:p>
    <w:p>
      <w:pPr>
        <w:spacing w:line="288" w:lineRule="auto"/>
        <w:ind w:firstLine="420" w:firstLineChars="200"/>
        <w:jc w:val="left"/>
        <w:rPr>
          <w:rFonts w:hint="eastAsia" w:ascii="宋体" w:hAnsi="宋体" w:eastAsia="宋体" w:cs="宋体"/>
          <w:color w:val="0000FF"/>
          <w:sz w:val="21"/>
          <w:szCs w:val="21"/>
          <w:lang w:val="en-US" w:eastAsia="zh-CN"/>
        </w:rPr>
      </w:pPr>
      <w:r>
        <w:rPr>
          <w:rFonts w:hint="eastAsia" w:ascii="宋体" w:hAnsi="宋体" w:eastAsia="宋体" w:cs="宋体"/>
          <w:color w:val="0000FF"/>
          <w:sz w:val="21"/>
          <w:szCs w:val="21"/>
        </w:rPr>
        <w:t>3.1.</w:t>
      </w:r>
      <w:r>
        <w:rPr>
          <w:rFonts w:hint="eastAsia" w:ascii="宋体" w:hAnsi="宋体" w:eastAsia="宋体" w:cs="宋体"/>
          <w:color w:val="0000FF"/>
          <w:sz w:val="21"/>
          <w:szCs w:val="21"/>
          <w:lang w:val="en-US" w:eastAsia="zh-CN"/>
        </w:rPr>
        <w:t>6投标人在“中国执行信息公开网”(http://zxgk.court.gov.cn) 未被列为“失信被执行人”。（投标人须提“中国执行信息公开网”关于“失信被执行人”的查询截屏，评审现场网络查询复核）</w:t>
      </w:r>
    </w:p>
    <w:p>
      <w:pPr>
        <w:spacing w:line="288" w:lineRule="auto"/>
        <w:ind w:firstLine="420" w:firstLineChars="200"/>
        <w:jc w:val="left"/>
        <w:rPr>
          <w:rFonts w:hint="eastAsia" w:ascii="宋体" w:hAnsi="宋体" w:eastAsia="宋体" w:cs="宋体"/>
          <w:color w:val="0000FF"/>
          <w:sz w:val="21"/>
          <w:szCs w:val="21"/>
        </w:rPr>
      </w:pPr>
      <w:r>
        <w:rPr>
          <w:rFonts w:hint="eastAsia" w:ascii="宋体" w:hAnsi="宋体" w:eastAsia="宋体" w:cs="宋体"/>
          <w:color w:val="0000FF"/>
          <w:sz w:val="21"/>
          <w:szCs w:val="21"/>
        </w:rPr>
        <w:t>3.1.</w:t>
      </w:r>
      <w:r>
        <w:rPr>
          <w:rFonts w:hint="eastAsia" w:ascii="宋体" w:hAnsi="宋体" w:eastAsia="宋体" w:cs="宋体"/>
          <w:color w:val="0000FF"/>
          <w:sz w:val="21"/>
          <w:szCs w:val="21"/>
          <w:lang w:val="en-US" w:eastAsia="zh-CN"/>
        </w:rPr>
        <w:t>7</w:t>
      </w:r>
      <w:r>
        <w:rPr>
          <w:rFonts w:hint="eastAsia" w:ascii="宋体" w:hAnsi="宋体" w:eastAsia="宋体" w:cs="宋体"/>
          <w:color w:val="0000FF"/>
          <w:sz w:val="21"/>
          <w:szCs w:val="21"/>
        </w:rPr>
        <w:t>本次招标不接受联合体投标，不允许分包；</w:t>
      </w:r>
    </w:p>
    <w:p>
      <w:pPr>
        <w:spacing w:line="288" w:lineRule="auto"/>
        <w:ind w:firstLine="420" w:firstLineChars="200"/>
        <w:jc w:val="left"/>
        <w:rPr>
          <w:rFonts w:hint="eastAsia" w:ascii="宋体" w:hAnsi="宋体" w:eastAsia="宋体" w:cs="宋体"/>
          <w:color w:val="0000FF"/>
          <w:sz w:val="21"/>
          <w:szCs w:val="21"/>
        </w:rPr>
      </w:pPr>
      <w:r>
        <w:rPr>
          <w:rFonts w:hint="eastAsia" w:ascii="宋体" w:hAnsi="宋体" w:eastAsia="宋体" w:cs="宋体"/>
          <w:color w:val="0000FF"/>
          <w:sz w:val="21"/>
          <w:szCs w:val="21"/>
        </w:rPr>
        <w:t>3.1.</w:t>
      </w:r>
      <w:r>
        <w:rPr>
          <w:rFonts w:hint="eastAsia" w:ascii="宋体" w:hAnsi="宋体" w:eastAsia="宋体" w:cs="宋体"/>
          <w:color w:val="0000FF"/>
          <w:sz w:val="21"/>
          <w:szCs w:val="21"/>
          <w:lang w:val="en-US" w:eastAsia="zh-CN"/>
        </w:rPr>
        <w:t>8</w:t>
      </w:r>
      <w:r>
        <w:rPr>
          <w:rFonts w:hint="eastAsia" w:ascii="宋体" w:hAnsi="宋体" w:eastAsia="宋体" w:cs="宋体"/>
          <w:color w:val="0000FF"/>
          <w:sz w:val="21"/>
          <w:szCs w:val="21"/>
        </w:rPr>
        <w:t>没有处于被责令停业，投标资格被取消，财产被接管、冻结，破产状态；（承诺）</w:t>
      </w:r>
    </w:p>
    <w:p>
      <w:pPr>
        <w:spacing w:line="288" w:lineRule="auto"/>
        <w:ind w:firstLine="420" w:firstLineChars="200"/>
        <w:jc w:val="left"/>
        <w:rPr>
          <w:rFonts w:hint="eastAsia" w:ascii="宋体" w:hAnsi="宋体" w:eastAsia="宋体" w:cs="宋体"/>
          <w:color w:val="0000FF"/>
          <w:sz w:val="21"/>
          <w:szCs w:val="21"/>
        </w:rPr>
      </w:pPr>
      <w:r>
        <w:rPr>
          <w:rFonts w:hint="eastAsia" w:ascii="宋体" w:hAnsi="宋体" w:eastAsia="宋体" w:cs="宋体"/>
          <w:color w:val="0000FF"/>
          <w:sz w:val="21"/>
          <w:szCs w:val="21"/>
        </w:rPr>
        <w:t>3.1.</w:t>
      </w:r>
      <w:r>
        <w:rPr>
          <w:rFonts w:hint="eastAsia" w:ascii="宋体" w:hAnsi="宋体" w:eastAsia="宋体" w:cs="宋体"/>
          <w:color w:val="0000FF"/>
          <w:sz w:val="21"/>
          <w:szCs w:val="21"/>
          <w:lang w:val="en-US" w:eastAsia="zh-CN"/>
        </w:rPr>
        <w:t>9</w:t>
      </w:r>
      <w:r>
        <w:rPr>
          <w:rFonts w:hint="eastAsia" w:ascii="宋体" w:hAnsi="宋体" w:eastAsia="宋体" w:cs="宋体"/>
          <w:color w:val="0000FF"/>
          <w:sz w:val="21"/>
          <w:szCs w:val="21"/>
        </w:rPr>
        <w:t>单位负责人为同一人或者控股、管理关系的不同单位，不得参加同一标段投标或者未划分标段的同一招标项目投标；（承诺）</w:t>
      </w:r>
    </w:p>
    <w:p>
      <w:pPr>
        <w:spacing w:line="288" w:lineRule="auto"/>
        <w:ind w:firstLine="420" w:firstLineChars="200"/>
        <w:jc w:val="left"/>
        <w:rPr>
          <w:rFonts w:hint="eastAsia" w:ascii="宋体" w:hAnsi="宋体" w:eastAsia="宋体" w:cs="宋体"/>
          <w:color w:val="0000FF"/>
          <w:sz w:val="21"/>
          <w:szCs w:val="21"/>
        </w:rPr>
      </w:pPr>
      <w:r>
        <w:rPr>
          <w:rFonts w:hint="eastAsia" w:ascii="宋体" w:hAnsi="宋体" w:eastAsia="宋体" w:cs="宋体"/>
          <w:color w:val="0000FF"/>
          <w:sz w:val="21"/>
          <w:szCs w:val="21"/>
        </w:rPr>
        <w:t>3.1.</w:t>
      </w:r>
      <w:r>
        <w:rPr>
          <w:rFonts w:hint="eastAsia" w:ascii="宋体" w:hAnsi="宋体" w:eastAsia="宋体" w:cs="宋体"/>
          <w:color w:val="0000FF"/>
          <w:sz w:val="21"/>
          <w:szCs w:val="21"/>
          <w:lang w:val="en-US" w:eastAsia="zh-CN"/>
        </w:rPr>
        <w:t>10</w:t>
      </w:r>
      <w:r>
        <w:rPr>
          <w:rFonts w:hint="eastAsia" w:ascii="宋体" w:hAnsi="宋体" w:eastAsia="宋体" w:cs="宋体"/>
          <w:color w:val="0000FF"/>
          <w:sz w:val="21"/>
          <w:szCs w:val="21"/>
        </w:rPr>
        <w:t>近三年</w:t>
      </w:r>
      <w:r>
        <w:rPr>
          <w:rFonts w:hint="eastAsia" w:ascii="宋体" w:hAnsi="宋体" w:eastAsia="宋体" w:cs="宋体"/>
          <w:color w:val="0000FF"/>
          <w:sz w:val="21"/>
          <w:szCs w:val="21"/>
          <w:lang w:eastAsia="zh-CN"/>
        </w:rPr>
        <w:t>（</w:t>
      </w:r>
      <w:r>
        <w:rPr>
          <w:rFonts w:hint="eastAsia" w:ascii="宋体" w:hAnsi="宋体" w:eastAsia="宋体" w:cs="宋体"/>
          <w:color w:val="0000FF"/>
          <w:sz w:val="21"/>
          <w:szCs w:val="21"/>
          <w:lang w:val="en-US" w:eastAsia="zh-CN"/>
        </w:rPr>
        <w:t>2</w:t>
      </w:r>
      <w:r>
        <w:rPr>
          <w:rFonts w:hint="eastAsia" w:ascii="宋体" w:hAnsi="宋体" w:eastAsia="宋体" w:cs="宋体"/>
          <w:color w:val="0000FF"/>
          <w:sz w:val="21"/>
          <w:szCs w:val="21"/>
          <w:lang w:eastAsia="zh-CN"/>
        </w:rPr>
        <w:t>017年</w:t>
      </w:r>
      <w:r>
        <w:rPr>
          <w:rFonts w:hint="eastAsia" w:ascii="宋体" w:hAnsi="宋体" w:eastAsia="宋体" w:cs="宋体"/>
          <w:color w:val="0000FF"/>
          <w:sz w:val="21"/>
          <w:szCs w:val="21"/>
          <w:lang w:val="en-US" w:eastAsia="zh-CN"/>
        </w:rPr>
        <w:t>1月1日至投标截止时间）</w:t>
      </w:r>
      <w:r>
        <w:rPr>
          <w:rFonts w:hint="eastAsia" w:ascii="宋体" w:hAnsi="宋体" w:eastAsia="宋体" w:cs="宋体"/>
          <w:color w:val="0000FF"/>
          <w:sz w:val="21"/>
          <w:szCs w:val="21"/>
        </w:rPr>
        <w:t>，在国家、行业、集团公司以及地方政府质量监督检查中无重大质量问题及事故；（承诺）</w:t>
      </w:r>
    </w:p>
    <w:p>
      <w:pPr>
        <w:spacing w:line="288" w:lineRule="auto"/>
        <w:ind w:firstLine="420" w:firstLineChars="200"/>
        <w:jc w:val="left"/>
        <w:rPr>
          <w:rFonts w:hint="eastAsia" w:ascii="宋体" w:hAnsi="宋体" w:eastAsia="宋体" w:cs="宋体"/>
          <w:color w:val="0000FF"/>
          <w:sz w:val="21"/>
          <w:szCs w:val="21"/>
        </w:rPr>
      </w:pPr>
      <w:r>
        <w:rPr>
          <w:rFonts w:hint="eastAsia" w:ascii="宋体" w:hAnsi="宋体" w:eastAsia="宋体" w:cs="宋体"/>
          <w:color w:val="0000FF"/>
          <w:sz w:val="21"/>
          <w:szCs w:val="21"/>
        </w:rPr>
        <w:t>3.1.</w:t>
      </w:r>
      <w:r>
        <w:rPr>
          <w:rFonts w:hint="eastAsia" w:ascii="宋体" w:hAnsi="宋体" w:eastAsia="宋体" w:cs="宋体"/>
          <w:color w:val="0000FF"/>
          <w:sz w:val="21"/>
          <w:szCs w:val="21"/>
          <w:lang w:val="en-US" w:eastAsia="zh-CN"/>
        </w:rPr>
        <w:t>11</w:t>
      </w:r>
      <w:r>
        <w:rPr>
          <w:rFonts w:hint="eastAsia" w:ascii="宋体" w:hAnsi="宋体" w:eastAsia="宋体" w:cs="宋体"/>
          <w:color w:val="0000FF"/>
          <w:sz w:val="21"/>
          <w:szCs w:val="21"/>
        </w:rPr>
        <w:t>与集团公司及所属企业无重大法律纠纷；（承诺）</w:t>
      </w:r>
    </w:p>
    <w:p>
      <w:pPr>
        <w:spacing w:line="288" w:lineRule="auto"/>
        <w:ind w:firstLine="420" w:firstLineChars="200"/>
        <w:jc w:val="left"/>
        <w:rPr>
          <w:rFonts w:hint="eastAsia" w:ascii="宋体" w:hAnsi="宋体" w:eastAsia="宋体" w:cs="宋体"/>
          <w:color w:val="0000FF"/>
          <w:sz w:val="21"/>
          <w:szCs w:val="21"/>
        </w:rPr>
      </w:pPr>
      <w:r>
        <w:rPr>
          <w:rFonts w:hint="eastAsia" w:ascii="宋体" w:hAnsi="宋体" w:eastAsia="宋体" w:cs="宋体"/>
          <w:color w:val="0000FF"/>
          <w:sz w:val="21"/>
          <w:szCs w:val="21"/>
        </w:rPr>
        <w:t>3.1.</w:t>
      </w:r>
      <w:r>
        <w:rPr>
          <w:rFonts w:hint="eastAsia" w:ascii="宋体" w:hAnsi="宋体" w:eastAsia="宋体" w:cs="宋体"/>
          <w:color w:val="0000FF"/>
          <w:sz w:val="21"/>
          <w:szCs w:val="21"/>
          <w:lang w:val="en-US" w:eastAsia="zh-CN"/>
        </w:rPr>
        <w:t>12</w:t>
      </w:r>
      <w:r>
        <w:rPr>
          <w:rFonts w:hint="eastAsia" w:ascii="宋体" w:hAnsi="宋体" w:eastAsia="宋体" w:cs="宋体"/>
          <w:color w:val="0000FF"/>
          <w:sz w:val="21"/>
          <w:szCs w:val="21"/>
        </w:rPr>
        <w:t>投标人有良好的商业信誉和健全的财务会计制度；（承诺）</w:t>
      </w:r>
    </w:p>
    <w:p>
      <w:pPr>
        <w:snapToGrid w:val="0"/>
        <w:spacing w:line="288" w:lineRule="auto"/>
        <w:ind w:firstLine="420" w:firstLineChars="200"/>
        <w:rPr>
          <w:rFonts w:hint="eastAsia" w:ascii="宋体" w:hAnsi="宋体" w:eastAsia="宋体" w:cs="宋体"/>
          <w:color w:val="0000FF"/>
          <w:sz w:val="21"/>
          <w:szCs w:val="21"/>
        </w:rPr>
      </w:pPr>
      <w:r>
        <w:rPr>
          <w:rFonts w:hint="eastAsia" w:ascii="宋体" w:hAnsi="宋体" w:eastAsia="宋体" w:cs="宋体"/>
          <w:color w:val="0000FF"/>
          <w:sz w:val="21"/>
          <w:szCs w:val="21"/>
        </w:rPr>
        <w:t>3.1.</w:t>
      </w:r>
      <w:r>
        <w:rPr>
          <w:rFonts w:hint="eastAsia" w:ascii="宋体" w:hAnsi="宋体" w:eastAsia="宋体" w:cs="宋体"/>
          <w:color w:val="0000FF"/>
          <w:sz w:val="21"/>
          <w:szCs w:val="21"/>
          <w:lang w:val="en-US" w:eastAsia="zh-CN"/>
        </w:rPr>
        <w:t>13</w:t>
      </w:r>
      <w:r>
        <w:rPr>
          <w:rFonts w:hint="eastAsia" w:ascii="宋体" w:hAnsi="宋体" w:eastAsia="宋体" w:cs="宋体"/>
          <w:color w:val="0000FF"/>
          <w:sz w:val="21"/>
          <w:szCs w:val="21"/>
        </w:rPr>
        <w:t>法律、行政法规规定的其他条件；（承诺）</w:t>
      </w:r>
    </w:p>
    <w:p>
      <w:pPr>
        <w:snapToGrid w:val="0"/>
        <w:spacing w:line="288" w:lineRule="auto"/>
        <w:ind w:firstLine="422" w:firstLineChars="200"/>
        <w:rPr>
          <w:rFonts w:hint="eastAsia" w:ascii="宋体" w:hAnsi="宋体" w:cs="宋体"/>
          <w:b/>
          <w:bCs/>
          <w:sz w:val="21"/>
          <w:szCs w:val="21"/>
          <w:highlight w:val="none"/>
        </w:rPr>
      </w:pPr>
      <w:r>
        <w:rPr>
          <w:rFonts w:hint="eastAsia" w:ascii="宋体" w:hAnsi="宋体" w:cs="宋体"/>
          <w:b/>
          <w:bCs/>
          <w:sz w:val="21"/>
          <w:szCs w:val="21"/>
          <w:highlight w:val="none"/>
        </w:rPr>
        <w:t>3.2技术资格条件</w:t>
      </w:r>
    </w:p>
    <w:p>
      <w:pPr>
        <w:spacing w:line="288" w:lineRule="auto"/>
        <w:ind w:firstLine="420" w:firstLineChars="200"/>
        <w:jc w:val="left"/>
        <w:rPr>
          <w:rFonts w:hint="eastAsia" w:ascii="宋体" w:hAnsi="宋体" w:eastAsia="宋体" w:cs="宋体"/>
          <w:color w:val="0000FF"/>
          <w:sz w:val="21"/>
          <w:szCs w:val="21"/>
          <w:lang w:val="en-US" w:eastAsia="zh-CN"/>
        </w:rPr>
      </w:pPr>
      <w:r>
        <w:rPr>
          <w:rFonts w:hint="eastAsia" w:ascii="宋体" w:hAnsi="宋体" w:eastAsia="宋体" w:cs="宋体"/>
          <w:color w:val="0000FF"/>
          <w:sz w:val="21"/>
          <w:szCs w:val="21"/>
          <w:lang w:val="en-US" w:eastAsia="zh-CN"/>
        </w:rPr>
        <w:t>3.2.1提供近三年（2017年1月1日至投标截止时间）带有CMA标识的本次招标产品的检验报告；</w:t>
      </w:r>
    </w:p>
    <w:p>
      <w:pPr>
        <w:spacing w:line="288" w:lineRule="auto"/>
        <w:ind w:firstLine="420" w:firstLineChars="200"/>
        <w:jc w:val="left"/>
        <w:rPr>
          <w:rFonts w:hint="eastAsia" w:ascii="宋体" w:hAnsi="宋体" w:eastAsia="宋体" w:cs="宋体"/>
          <w:color w:val="0000FF"/>
          <w:sz w:val="21"/>
          <w:szCs w:val="21"/>
          <w:lang w:val="en-US" w:eastAsia="zh-CN"/>
        </w:rPr>
      </w:pPr>
      <w:r>
        <w:rPr>
          <w:rFonts w:hint="eastAsia" w:ascii="宋体" w:hAnsi="宋体" w:eastAsia="宋体" w:cs="宋体"/>
          <w:color w:val="0000FF"/>
          <w:sz w:val="21"/>
          <w:szCs w:val="21"/>
          <w:lang w:val="en-US" w:eastAsia="zh-CN"/>
        </w:rPr>
        <w:t>3.2.2具有近三年（2017年1月1日至投标截止时间）石油石化行业的招标产品至少100万元（不含税）销售业绩（提供合同和对应的发票）</w:t>
      </w:r>
    </w:p>
    <w:p>
      <w:pPr>
        <w:spacing w:line="288" w:lineRule="auto"/>
        <w:ind w:firstLine="420" w:firstLineChars="200"/>
        <w:jc w:val="left"/>
        <w:rPr>
          <w:rFonts w:hint="eastAsia" w:ascii="宋体" w:hAnsi="宋体" w:eastAsia="宋体" w:cs="宋体"/>
          <w:color w:val="0000FF"/>
          <w:sz w:val="21"/>
          <w:szCs w:val="21"/>
          <w:lang w:val="en-US" w:eastAsia="zh-CN"/>
        </w:rPr>
      </w:pPr>
      <w:r>
        <w:rPr>
          <w:rFonts w:hint="eastAsia" w:ascii="宋体" w:hAnsi="宋体" w:eastAsia="宋体" w:cs="宋体"/>
          <w:color w:val="0000FF"/>
          <w:sz w:val="21"/>
          <w:szCs w:val="21"/>
          <w:lang w:val="en-US" w:eastAsia="zh-CN"/>
        </w:rPr>
        <w:t>3.2.3</w:t>
      </w:r>
      <w:r>
        <w:rPr>
          <w:rFonts w:hint="eastAsia" w:ascii="宋体" w:hAnsi="宋体" w:eastAsia="宋体" w:cs="宋体"/>
          <w:color w:val="0000FF"/>
          <w:sz w:val="21"/>
          <w:szCs w:val="21"/>
          <w:lang w:val="zh-CN" w:eastAsia="zh-CN"/>
        </w:rPr>
        <w:t>投标人必须全部满足技术要求*条款，同时对非*条款作出承诺。</w:t>
      </w:r>
    </w:p>
    <w:p>
      <w:pPr>
        <w:rPr>
          <w:rFonts w:hint="eastAsia" w:ascii="Arial" w:hAnsi="Arial" w:eastAsia="黑体"/>
          <w:b/>
          <w:bCs/>
          <w:kern w:val="2"/>
          <w:sz w:val="32"/>
          <w:szCs w:val="32"/>
        </w:rPr>
      </w:pPr>
      <w:bookmarkStart w:id="21" w:name="_Toc17902424"/>
      <w:r>
        <w:rPr>
          <w:rFonts w:hint="eastAsia" w:ascii="Arial" w:hAnsi="Arial" w:eastAsia="黑体"/>
          <w:b/>
          <w:bCs/>
          <w:kern w:val="2"/>
          <w:sz w:val="32"/>
          <w:szCs w:val="32"/>
        </w:rPr>
        <w:t>4.招标文件的获取</w:t>
      </w:r>
      <w:bookmarkEnd w:id="17"/>
      <w:bookmarkEnd w:id="18"/>
      <w:bookmarkEnd w:id="19"/>
      <w:bookmarkEnd w:id="20"/>
      <w:bookmarkEnd w:id="21"/>
    </w:p>
    <w:p>
      <w:pPr>
        <w:spacing w:line="288" w:lineRule="auto"/>
        <w:ind w:firstLine="420" w:firstLineChars="200"/>
        <w:rPr>
          <w:rFonts w:hint="eastAsia" w:ascii="宋体" w:hAnsi="宋体" w:cs="宋体"/>
          <w:sz w:val="21"/>
          <w:szCs w:val="21"/>
        </w:rPr>
      </w:pPr>
      <w:r>
        <w:rPr>
          <w:rFonts w:hint="eastAsia" w:ascii="宋体" w:hAnsi="宋体" w:cs="宋体"/>
          <w:sz w:val="21"/>
          <w:szCs w:val="21"/>
        </w:rPr>
        <w:t>4.1 凡有意参加投标的潜在投标人，请于北京时间</w:t>
      </w:r>
      <w:r>
        <w:rPr>
          <w:rFonts w:hint="eastAsia" w:ascii="宋体" w:hAnsi="宋体" w:cs="宋体"/>
          <w:color w:val="0000C8"/>
          <w:sz w:val="21"/>
          <w:szCs w:val="21"/>
        </w:rPr>
        <w:t xml:space="preserve"> 20</w:t>
      </w:r>
      <w:r>
        <w:rPr>
          <w:rFonts w:hint="eastAsia" w:ascii="宋体" w:hAnsi="宋体" w:cs="宋体"/>
          <w:color w:val="0000C8"/>
          <w:sz w:val="21"/>
          <w:szCs w:val="21"/>
          <w:lang w:val="en-US" w:eastAsia="zh-CN"/>
        </w:rPr>
        <w:t>20</w:t>
      </w:r>
      <w:r>
        <w:rPr>
          <w:rFonts w:hint="eastAsia" w:ascii="宋体" w:hAnsi="宋体" w:cs="宋体"/>
          <w:color w:val="0000C8"/>
          <w:sz w:val="21"/>
          <w:szCs w:val="21"/>
        </w:rPr>
        <w:t>年</w:t>
      </w:r>
      <w:r>
        <w:rPr>
          <w:rFonts w:hint="eastAsia" w:ascii="宋体" w:hAnsi="宋体" w:cs="宋体"/>
          <w:color w:val="0000C8"/>
          <w:sz w:val="21"/>
          <w:szCs w:val="21"/>
          <w:lang w:val="en-US" w:eastAsia="zh-CN"/>
        </w:rPr>
        <w:t>07</w:t>
      </w:r>
      <w:r>
        <w:rPr>
          <w:rFonts w:hint="eastAsia" w:ascii="宋体" w:hAnsi="宋体" w:cs="宋体"/>
          <w:color w:val="0000C8"/>
          <w:sz w:val="21"/>
          <w:szCs w:val="21"/>
        </w:rPr>
        <w:t>月</w:t>
      </w:r>
      <w:r>
        <w:rPr>
          <w:rFonts w:hint="eastAsia" w:ascii="宋体" w:hAnsi="宋体" w:cs="宋体"/>
          <w:color w:val="0000C8"/>
          <w:sz w:val="21"/>
          <w:szCs w:val="21"/>
          <w:lang w:val="en-US" w:eastAsia="zh-CN"/>
        </w:rPr>
        <w:t>28</w:t>
      </w:r>
      <w:r>
        <w:rPr>
          <w:rFonts w:hint="eastAsia" w:ascii="宋体" w:hAnsi="宋体" w:cs="宋体"/>
          <w:color w:val="0000C8"/>
          <w:sz w:val="21"/>
          <w:szCs w:val="21"/>
        </w:rPr>
        <w:t>日至 20</w:t>
      </w:r>
      <w:r>
        <w:rPr>
          <w:rFonts w:hint="eastAsia" w:ascii="宋体" w:hAnsi="宋体" w:cs="宋体"/>
          <w:color w:val="0000C8"/>
          <w:sz w:val="21"/>
          <w:szCs w:val="21"/>
          <w:lang w:val="en-US" w:eastAsia="zh-CN"/>
        </w:rPr>
        <w:t>20</w:t>
      </w:r>
      <w:r>
        <w:rPr>
          <w:rFonts w:hint="eastAsia" w:ascii="宋体" w:hAnsi="宋体" w:cs="宋体"/>
          <w:color w:val="0000C8"/>
          <w:sz w:val="21"/>
          <w:szCs w:val="21"/>
        </w:rPr>
        <w:t>年</w:t>
      </w:r>
      <w:r>
        <w:rPr>
          <w:rFonts w:hint="eastAsia" w:ascii="宋体" w:hAnsi="宋体" w:cs="宋体"/>
          <w:color w:val="0000C8"/>
          <w:sz w:val="21"/>
          <w:szCs w:val="21"/>
          <w:lang w:val="en-US" w:eastAsia="zh-CN"/>
        </w:rPr>
        <w:t>08</w:t>
      </w:r>
      <w:r>
        <w:rPr>
          <w:rFonts w:hint="eastAsia" w:ascii="宋体" w:hAnsi="宋体" w:cs="宋体"/>
          <w:color w:val="0000C8"/>
          <w:sz w:val="21"/>
          <w:szCs w:val="21"/>
        </w:rPr>
        <w:t>月</w:t>
      </w:r>
      <w:r>
        <w:rPr>
          <w:rFonts w:hint="eastAsia" w:ascii="宋体" w:hAnsi="宋体" w:cs="宋体"/>
          <w:color w:val="0000C8"/>
          <w:sz w:val="21"/>
          <w:szCs w:val="21"/>
          <w:lang w:val="en-US" w:eastAsia="zh-CN"/>
        </w:rPr>
        <w:t>02</w:t>
      </w:r>
      <w:r>
        <w:rPr>
          <w:rFonts w:hint="eastAsia" w:ascii="宋体" w:hAnsi="宋体" w:cs="宋体"/>
          <w:color w:val="0000C8"/>
          <w:sz w:val="21"/>
          <w:szCs w:val="21"/>
        </w:rPr>
        <w:t>日</w:t>
      </w:r>
      <w:r>
        <w:rPr>
          <w:rFonts w:hint="eastAsia" w:ascii="宋体" w:hAnsi="宋体" w:cs="宋体"/>
          <w:sz w:val="21"/>
          <w:szCs w:val="21"/>
        </w:rPr>
        <w:t xml:space="preserve">内完成以下两个步骤：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①  办理本项目在线报名事宜。</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登录“中国石油招标投标网”，进入“中国石油电子招标投标交易平台”在线报名。（如未在“中国石油电子招标投标交易平台”上注册过的潜在投标人需要先注册并通过平台审核，审核通过后登录平台在“可报名项目”中找到本项目并完成在线报名，投标人注册</w:t>
      </w:r>
      <w:r>
        <w:rPr>
          <w:rFonts w:hint="eastAsia" w:ascii="宋体" w:hAnsi="宋体" w:cs="宋体"/>
          <w:sz w:val="21"/>
          <w:szCs w:val="21"/>
          <w:highlight w:val="none"/>
        </w:rPr>
        <w:t>请参考</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《电子招投标平台投标人账号注册及信息变更指南》，</w:t>
      </w:r>
      <w:r>
        <w:rPr>
          <w:rFonts w:hint="eastAsia" w:ascii="宋体" w:hAnsi="宋体" w:cs="宋体"/>
          <w:sz w:val="21"/>
          <w:szCs w:val="21"/>
        </w:rPr>
        <w:t>或拨打中国石油电子招标投标交易平台技术支持电话咨询。）</w:t>
      </w:r>
    </w:p>
    <w:p>
      <w:pPr>
        <w:spacing w:line="288" w:lineRule="auto"/>
        <w:rPr>
          <w:rFonts w:hint="eastAsia" w:ascii="宋体" w:hAnsi="宋体" w:cs="宋体"/>
          <w:sz w:val="21"/>
          <w:szCs w:val="21"/>
        </w:rPr>
      </w:pPr>
      <w:r>
        <w:rPr>
          <w:rFonts w:hint="eastAsia" w:ascii="宋体" w:hAnsi="宋体" w:cs="宋体"/>
          <w:color w:val="000000"/>
          <w:kern w:val="2"/>
          <w:sz w:val="21"/>
          <w:szCs w:val="21"/>
        </w:rPr>
        <w:t>注：</w:t>
      </w:r>
      <w:r>
        <w:rPr>
          <w:rFonts w:hint="eastAsia" w:ascii="宋体" w:hAnsi="宋体" w:cs="宋体"/>
          <w:sz w:val="21"/>
          <w:szCs w:val="21"/>
        </w:rPr>
        <w:t>中国石油电子招标投标交易平台：</w:t>
      </w:r>
      <w:r>
        <w:rPr>
          <w:rFonts w:hint="eastAsia" w:ascii="宋体" w:hAnsi="宋体" w:cs="宋体"/>
          <w:kern w:val="2"/>
          <w:sz w:val="21"/>
          <w:szCs w:val="21"/>
        </w:rPr>
        <w:t>http://ebidmanage.cnpcbidding.com/bidder/ebid/base/login.html</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②办理本项目标书费缴纳事宜。</w:t>
      </w:r>
    </w:p>
    <w:p>
      <w:pPr>
        <w:spacing w:line="288" w:lineRule="auto"/>
        <w:ind w:firstLine="420" w:firstLineChars="200"/>
        <w:rPr>
          <w:rFonts w:hint="eastAsia" w:ascii="宋体" w:hAnsi="宋体" w:cs="宋体"/>
          <w:color w:val="FF0000"/>
          <w:kern w:val="2"/>
          <w:sz w:val="21"/>
          <w:szCs w:val="21"/>
        </w:rPr>
      </w:pPr>
      <w:r>
        <w:rPr>
          <w:rFonts w:hint="eastAsia" w:ascii="宋体" w:hAnsi="宋体" w:cs="宋体"/>
          <w:color w:val="333333"/>
          <w:sz w:val="21"/>
          <w:szCs w:val="21"/>
        </w:rPr>
        <w:t>登陆“中国石油电子招标投标交易平台”，选择“已报名项目”进行购买招标文件操作</w:t>
      </w:r>
      <w:r>
        <w:rPr>
          <w:rFonts w:hint="eastAsia" w:ascii="宋体" w:hAnsi="宋体" w:cs="宋体"/>
          <w:kern w:val="2"/>
          <w:sz w:val="21"/>
          <w:szCs w:val="21"/>
        </w:rPr>
        <w:t>。</w:t>
      </w:r>
      <w:r>
        <w:rPr>
          <w:rFonts w:hint="eastAsia" w:ascii="宋体" w:hAnsi="宋体" w:cs="宋体"/>
          <w:color w:val="FF0000"/>
          <w:kern w:val="2"/>
          <w:sz w:val="21"/>
          <w:szCs w:val="21"/>
        </w:rPr>
        <w:t>购买招标文件采用网上支付的方式，系统仅支持个人网银支付。</w:t>
      </w:r>
    </w:p>
    <w:p>
      <w:pPr>
        <w:spacing w:line="288" w:lineRule="auto"/>
        <w:ind w:firstLine="420" w:firstLineChars="200"/>
        <w:rPr>
          <w:rFonts w:hint="eastAsia" w:ascii="宋体" w:hAnsi="宋体" w:cs="宋体"/>
          <w:b/>
          <w:bCs/>
          <w:color w:val="000000"/>
          <w:kern w:val="2"/>
          <w:sz w:val="21"/>
          <w:szCs w:val="21"/>
        </w:rPr>
      </w:pPr>
      <w:r>
        <w:rPr>
          <w:rFonts w:hint="eastAsia" w:ascii="宋体" w:hAnsi="宋体" w:cs="宋体"/>
          <w:color w:val="000000"/>
          <w:kern w:val="2"/>
          <w:sz w:val="21"/>
          <w:szCs w:val="21"/>
        </w:rPr>
        <w:t>详细操作步骤参见</w:t>
      </w:r>
      <w:r>
        <w:rPr>
          <w:rFonts w:hint="eastAsia" w:ascii="宋体" w:hAnsi="宋体" w:cs="宋体"/>
          <w:b/>
          <w:bCs/>
          <w:color w:val="000000"/>
          <w:kern w:val="2"/>
          <w:sz w:val="21"/>
          <w:szCs w:val="21"/>
        </w:rPr>
        <w:t>《工具中心-投标人用户手册》。</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4.2招标文件每个标包售价为</w:t>
      </w:r>
      <w:r>
        <w:rPr>
          <w:rFonts w:hint="eastAsia" w:ascii="宋体" w:hAnsi="宋体" w:cs="宋体"/>
          <w:color w:val="0000C8"/>
          <w:sz w:val="21"/>
          <w:szCs w:val="21"/>
        </w:rPr>
        <w:t>500</w:t>
      </w:r>
      <w:r>
        <w:rPr>
          <w:rFonts w:hint="eastAsia" w:ascii="宋体" w:hAnsi="宋体" w:cs="宋体"/>
          <w:sz w:val="21"/>
          <w:szCs w:val="21"/>
        </w:rPr>
        <w:t xml:space="preserve">元人民币，请有意参加投标的潜在投标人确认自身资格条件是否满足投标人资格要求，售后不退，应自负其责。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 xml:space="preserve">4.3本次招标文件采取线上发售的方式。潜在投标人按照4.1条款要求购买招标文件后，可登录“中国石油电子招标投标交易平台”下载招标文件。 </w:t>
      </w:r>
    </w:p>
    <w:p>
      <w:pPr>
        <w:spacing w:line="288" w:lineRule="auto"/>
        <w:ind w:firstLine="420" w:firstLineChars="200"/>
        <w:rPr>
          <w:rFonts w:hint="eastAsia" w:ascii="宋体" w:hAnsi="宋体" w:cs="宋体"/>
          <w:bCs/>
          <w:sz w:val="21"/>
          <w:szCs w:val="21"/>
          <w:highlight w:val="none"/>
        </w:rPr>
      </w:pPr>
      <w:r>
        <w:rPr>
          <w:rFonts w:hint="eastAsia" w:ascii="宋体" w:hAnsi="宋体" w:cs="宋体"/>
          <w:sz w:val="21"/>
          <w:szCs w:val="21"/>
        </w:rPr>
        <w:t>4.4此次招标采购项目为全流程网上操作，供应商需要使用 U-key才能完成投标工作，因此要求所有参与本项目投标的供应商必须办理U-key。</w:t>
      </w:r>
      <w:r>
        <w:rPr>
          <w:rFonts w:hint="eastAsia" w:ascii="宋体" w:hAnsi="宋体" w:cs="宋体"/>
          <w:color w:val="333333"/>
          <w:sz w:val="21"/>
          <w:szCs w:val="21"/>
        </w:rPr>
        <w:t>中石油电子商务</w:t>
      </w:r>
      <w:r>
        <w:rPr>
          <w:rFonts w:hint="eastAsia" w:ascii="宋体" w:hAnsi="宋体" w:cs="宋体"/>
          <w:bCs/>
          <w:color w:val="000000"/>
          <w:sz w:val="21"/>
          <w:szCs w:val="21"/>
        </w:rPr>
        <w:t>U-Key办理</w:t>
      </w:r>
      <w:r>
        <w:rPr>
          <w:rFonts w:hint="eastAsia" w:ascii="宋体" w:hAnsi="宋体" w:cs="宋体"/>
          <w:bCs/>
          <w:color w:val="000000"/>
          <w:sz w:val="21"/>
          <w:szCs w:val="21"/>
          <w:highlight w:val="none"/>
        </w:rPr>
        <w:t>流程详见</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w:t>
      </w:r>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 HYPERLINK "https://www.cnpcbidding.com/html/1/javascript: void (0);" </w:instrText>
      </w:r>
      <w:r>
        <w:rPr>
          <w:rFonts w:hint="eastAsia" w:ascii="宋体" w:hAnsi="宋体" w:cs="宋体"/>
          <w:sz w:val="21"/>
          <w:szCs w:val="21"/>
          <w:highlight w:val="none"/>
        </w:rPr>
        <w:fldChar w:fldCharType="separate"/>
      </w:r>
      <w:r>
        <w:rPr>
          <w:rFonts w:hint="eastAsia" w:ascii="宋体" w:hAnsi="宋体" w:cs="宋体"/>
          <w:sz w:val="21"/>
          <w:szCs w:val="21"/>
          <w:highlight w:val="none"/>
        </w:rPr>
        <w:t>电子招投标平台Ukey办理通知公告及操作手册</w:t>
      </w:r>
      <w:r>
        <w:rPr>
          <w:rFonts w:hint="eastAsia" w:ascii="宋体" w:hAnsi="宋体" w:cs="宋体"/>
          <w:sz w:val="21"/>
          <w:szCs w:val="21"/>
          <w:highlight w:val="none"/>
        </w:rPr>
        <w:fldChar w:fldCharType="end"/>
      </w:r>
      <w:r>
        <w:rPr>
          <w:rFonts w:hint="eastAsia" w:ascii="宋体" w:hAnsi="宋体" w:cs="宋体"/>
          <w:sz w:val="21"/>
          <w:szCs w:val="21"/>
          <w:highlight w:val="none"/>
        </w:rPr>
        <w:t>》</w:t>
      </w:r>
      <w:r>
        <w:rPr>
          <w:rFonts w:hint="eastAsia" w:ascii="宋体" w:hAnsi="宋体" w:cs="宋体"/>
          <w:color w:val="333333"/>
          <w:sz w:val="21"/>
          <w:szCs w:val="21"/>
          <w:highlight w:val="none"/>
        </w:rPr>
        <w:t>。</w:t>
      </w:r>
    </w:p>
    <w:p>
      <w:pPr>
        <w:spacing w:line="288" w:lineRule="auto"/>
        <w:ind w:firstLine="420" w:firstLineChars="200"/>
        <w:rPr>
          <w:rFonts w:hint="eastAsia" w:ascii="宋体" w:hAnsi="宋体" w:cs="宋体"/>
          <w:color w:val="000000"/>
          <w:kern w:val="2"/>
          <w:sz w:val="21"/>
          <w:szCs w:val="21"/>
          <w:highlight w:val="green"/>
        </w:rPr>
      </w:pPr>
      <w:r>
        <w:rPr>
          <w:rFonts w:hint="eastAsia" w:ascii="宋体" w:hAnsi="宋体" w:cs="宋体"/>
          <w:color w:val="000000"/>
          <w:kern w:val="2"/>
          <w:sz w:val="21"/>
          <w:szCs w:val="21"/>
        </w:rPr>
        <w:t>4.5 招标文件获取后，需每天登陆“中国石油电子招标投标交易平台”查看该项目澄清等相关信息。</w:t>
      </w:r>
    </w:p>
    <w:p>
      <w:pPr>
        <w:spacing w:line="288" w:lineRule="auto"/>
        <w:ind w:firstLine="420" w:firstLineChars="200"/>
        <w:rPr>
          <w:rFonts w:hint="eastAsia" w:ascii="宋体" w:hAnsi="宋体" w:cs="宋体"/>
          <w:color w:val="000000"/>
          <w:kern w:val="2"/>
          <w:sz w:val="21"/>
          <w:szCs w:val="21"/>
          <w:highlight w:val="none"/>
          <w:lang w:val="zh-CN"/>
        </w:rPr>
      </w:pPr>
      <w:r>
        <w:rPr>
          <w:rFonts w:hint="eastAsia" w:ascii="宋体" w:hAnsi="宋体" w:cs="宋体"/>
          <w:color w:val="000000"/>
          <w:kern w:val="2"/>
          <w:sz w:val="21"/>
          <w:szCs w:val="21"/>
          <w:highlight w:val="none"/>
        </w:rPr>
        <w:t>4.6 招标文件购买操作失败或其他系统问题，</w:t>
      </w:r>
      <w:r>
        <w:rPr>
          <w:rFonts w:hint="eastAsia" w:ascii="宋体" w:hAnsi="宋体" w:cs="宋体"/>
          <w:color w:val="000000"/>
          <w:kern w:val="2"/>
          <w:sz w:val="21"/>
          <w:szCs w:val="21"/>
          <w:highlight w:val="none"/>
          <w:lang w:val="zh-CN"/>
        </w:rPr>
        <w:t>可尝试更换其他银行的个人网银重新购买</w:t>
      </w:r>
      <w:r>
        <w:rPr>
          <w:rFonts w:hint="eastAsia" w:ascii="宋体" w:hAnsi="宋体" w:cs="宋体"/>
          <w:color w:val="000000"/>
          <w:kern w:val="2"/>
          <w:sz w:val="21"/>
          <w:szCs w:val="21"/>
          <w:highlight w:val="none"/>
          <w:lang w:eastAsia="zh-CN"/>
        </w:rPr>
        <w:t>或</w:t>
      </w:r>
      <w:r>
        <w:rPr>
          <w:rFonts w:hint="eastAsia" w:ascii="宋体" w:hAnsi="宋体" w:cs="宋体"/>
          <w:color w:val="000000"/>
          <w:kern w:val="2"/>
          <w:sz w:val="21"/>
          <w:szCs w:val="21"/>
          <w:highlight w:val="none"/>
        </w:rPr>
        <w:t>拨打中国石油电子招标投标交易平台技术支持电话咨询</w:t>
      </w:r>
      <w:r>
        <w:rPr>
          <w:rFonts w:hint="eastAsia" w:ascii="方正小标宋简体" w:hAnsi="方正小标宋简体" w:eastAsia="方正小标宋简体"/>
          <w:color w:val="000000"/>
          <w:sz w:val="24"/>
          <w:highlight w:val="none"/>
          <w:lang w:val="zh-CN"/>
        </w:rPr>
        <w:t>。</w:t>
      </w:r>
      <w:r>
        <w:rPr>
          <w:rFonts w:hint="eastAsia" w:ascii="宋体" w:hAnsi="宋体" w:cs="宋体"/>
          <w:color w:val="000000"/>
          <w:kern w:val="2"/>
          <w:sz w:val="21"/>
          <w:szCs w:val="21"/>
          <w:highlight w:val="none"/>
          <w:lang w:val="zh-CN"/>
        </w:rPr>
        <w:t>重复购买的，在本项目开标日之后可联系招标代理机构联系人退还重复购买费用。</w:t>
      </w:r>
    </w:p>
    <w:p>
      <w:pPr>
        <w:rPr>
          <w:rFonts w:hint="eastAsia" w:ascii="Arial" w:hAnsi="Arial" w:eastAsia="黑体"/>
          <w:b/>
          <w:bCs/>
          <w:kern w:val="2"/>
          <w:sz w:val="32"/>
          <w:szCs w:val="32"/>
        </w:rPr>
      </w:pPr>
      <w:bookmarkStart w:id="22" w:name="_Toc491332587"/>
      <w:bookmarkStart w:id="23" w:name="_Toc520895298"/>
      <w:bookmarkStart w:id="24" w:name="_Toc310252796"/>
      <w:bookmarkStart w:id="25" w:name="_Toc310252595"/>
      <w:bookmarkStart w:id="26" w:name="_Toc17902425"/>
      <w:r>
        <w:rPr>
          <w:rFonts w:hint="eastAsia" w:ascii="Arial" w:hAnsi="Arial" w:eastAsia="黑体"/>
          <w:b/>
          <w:bCs/>
          <w:kern w:val="2"/>
          <w:sz w:val="32"/>
          <w:szCs w:val="32"/>
        </w:rPr>
        <w:t>5.投标文件的递交</w:t>
      </w:r>
      <w:bookmarkEnd w:id="22"/>
      <w:bookmarkEnd w:id="23"/>
      <w:bookmarkEnd w:id="24"/>
      <w:bookmarkEnd w:id="25"/>
      <w:bookmarkEnd w:id="26"/>
    </w:p>
    <w:p>
      <w:pPr>
        <w:spacing w:line="288" w:lineRule="auto"/>
        <w:ind w:firstLine="420" w:firstLineChars="200"/>
        <w:rPr>
          <w:rFonts w:hint="eastAsia" w:ascii="宋体" w:hAnsi="宋体" w:cs="宋体"/>
          <w:color w:val="FF0000"/>
          <w:kern w:val="2"/>
          <w:sz w:val="21"/>
          <w:szCs w:val="21"/>
        </w:rPr>
      </w:pPr>
      <w:r>
        <w:rPr>
          <w:rFonts w:hint="eastAsia" w:ascii="宋体" w:hAnsi="宋体" w:cs="宋体"/>
          <w:color w:val="000000"/>
          <w:kern w:val="2"/>
          <w:sz w:val="21"/>
          <w:szCs w:val="21"/>
        </w:rPr>
        <w:t>5.1本次招标采取网上递交电子投标文件的投标方式</w:t>
      </w:r>
      <w:r>
        <w:rPr>
          <w:rFonts w:hint="eastAsia" w:ascii="宋体" w:hAnsi="宋体" w:cs="宋体"/>
          <w:color w:val="000000"/>
          <w:kern w:val="2"/>
          <w:sz w:val="21"/>
          <w:szCs w:val="21"/>
          <w:lang w:eastAsia="zh-CN"/>
        </w:rPr>
        <w:t>；</w:t>
      </w:r>
      <w:r>
        <w:rPr>
          <w:rFonts w:hint="eastAsia" w:ascii="宋体" w:hAnsi="宋体" w:cs="宋体"/>
          <w:color w:val="000000"/>
          <w:kern w:val="2"/>
          <w:sz w:val="21"/>
          <w:szCs w:val="21"/>
        </w:rPr>
        <w:t xml:space="preserve"> </w:t>
      </w:r>
    </w:p>
    <w:p>
      <w:pPr>
        <w:spacing w:line="288" w:lineRule="auto"/>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5.2投标截止时间和开标时间（网上开标） ：</w:t>
      </w:r>
      <w:r>
        <w:rPr>
          <w:rFonts w:hint="eastAsia" w:ascii="宋体" w:hAnsi="宋体" w:cs="宋体"/>
          <w:color w:val="0000C8"/>
          <w:kern w:val="2"/>
          <w:sz w:val="21"/>
          <w:szCs w:val="21"/>
        </w:rPr>
        <w:t>20</w:t>
      </w:r>
      <w:r>
        <w:rPr>
          <w:rFonts w:hint="eastAsia" w:ascii="宋体" w:hAnsi="宋体" w:cs="宋体"/>
          <w:color w:val="0000C8"/>
          <w:kern w:val="2"/>
          <w:sz w:val="21"/>
          <w:szCs w:val="21"/>
          <w:lang w:val="en-US" w:eastAsia="zh-CN"/>
        </w:rPr>
        <w:t>20</w:t>
      </w:r>
      <w:r>
        <w:rPr>
          <w:rFonts w:hint="eastAsia" w:ascii="宋体" w:hAnsi="宋体" w:cs="宋体"/>
          <w:color w:val="0000C8"/>
          <w:kern w:val="2"/>
          <w:sz w:val="21"/>
          <w:szCs w:val="21"/>
        </w:rPr>
        <w:t xml:space="preserve">年 </w:t>
      </w:r>
      <w:r>
        <w:rPr>
          <w:rFonts w:hint="eastAsia" w:ascii="宋体" w:hAnsi="宋体" w:cs="宋体"/>
          <w:color w:val="0000C8"/>
          <w:kern w:val="2"/>
          <w:sz w:val="21"/>
          <w:szCs w:val="21"/>
          <w:lang w:val="en-US" w:eastAsia="zh-CN"/>
        </w:rPr>
        <w:t>08</w:t>
      </w:r>
      <w:r>
        <w:rPr>
          <w:rFonts w:hint="eastAsia" w:ascii="宋体" w:hAnsi="宋体" w:cs="宋体"/>
          <w:color w:val="0000C8"/>
          <w:kern w:val="2"/>
          <w:sz w:val="21"/>
          <w:szCs w:val="21"/>
        </w:rPr>
        <w:t>月</w:t>
      </w:r>
      <w:r>
        <w:rPr>
          <w:rFonts w:hint="eastAsia" w:ascii="宋体" w:hAnsi="宋体" w:cs="宋体"/>
          <w:color w:val="0000C8"/>
          <w:kern w:val="2"/>
          <w:sz w:val="21"/>
          <w:szCs w:val="21"/>
          <w:lang w:val="en-US" w:eastAsia="zh-CN"/>
        </w:rPr>
        <w:t>18</w:t>
      </w:r>
      <w:r>
        <w:rPr>
          <w:rFonts w:hint="eastAsia" w:ascii="宋体" w:hAnsi="宋体" w:cs="宋体"/>
          <w:color w:val="0000C8"/>
          <w:kern w:val="2"/>
          <w:sz w:val="21"/>
          <w:szCs w:val="21"/>
        </w:rPr>
        <w:t>日</w:t>
      </w:r>
      <w:r>
        <w:rPr>
          <w:rFonts w:hint="eastAsia" w:ascii="宋体" w:hAnsi="宋体" w:cs="宋体"/>
          <w:color w:val="0000C8"/>
          <w:kern w:val="2"/>
          <w:sz w:val="21"/>
          <w:szCs w:val="21"/>
          <w:lang w:val="en-US" w:eastAsia="zh-CN"/>
        </w:rPr>
        <w:t>08</w:t>
      </w:r>
      <w:r>
        <w:rPr>
          <w:rFonts w:hint="eastAsia" w:ascii="宋体" w:hAnsi="宋体" w:cs="宋体"/>
          <w:color w:val="0000C8"/>
          <w:kern w:val="2"/>
          <w:sz w:val="21"/>
          <w:szCs w:val="21"/>
        </w:rPr>
        <w:t xml:space="preserve">时 </w:t>
      </w:r>
      <w:r>
        <w:rPr>
          <w:rFonts w:hint="eastAsia" w:ascii="宋体" w:hAnsi="宋体" w:cs="宋体"/>
          <w:color w:val="0000C8"/>
          <w:kern w:val="2"/>
          <w:sz w:val="21"/>
          <w:szCs w:val="21"/>
          <w:lang w:val="en-US" w:eastAsia="zh-CN"/>
        </w:rPr>
        <w:t>30</w:t>
      </w:r>
      <w:r>
        <w:rPr>
          <w:rFonts w:hint="eastAsia" w:ascii="宋体" w:hAnsi="宋体" w:cs="宋体"/>
          <w:color w:val="0000C8"/>
          <w:kern w:val="2"/>
          <w:sz w:val="21"/>
          <w:szCs w:val="21"/>
        </w:rPr>
        <w:t>分</w:t>
      </w:r>
      <w:r>
        <w:rPr>
          <w:rFonts w:hint="eastAsia" w:ascii="宋体" w:hAnsi="宋体" w:cs="宋体"/>
          <w:color w:val="000000"/>
          <w:kern w:val="2"/>
          <w:sz w:val="21"/>
          <w:szCs w:val="21"/>
        </w:rPr>
        <w:t xml:space="preserve">（北京时间）； </w:t>
      </w:r>
    </w:p>
    <w:p>
      <w:pPr>
        <w:spacing w:line="288" w:lineRule="auto"/>
        <w:ind w:firstLine="420" w:firstLineChars="200"/>
        <w:rPr>
          <w:rFonts w:hint="eastAsia" w:ascii="宋体" w:hAnsi="宋体" w:eastAsia="宋体" w:cs="宋体"/>
          <w:color w:val="000000"/>
          <w:kern w:val="2"/>
          <w:sz w:val="21"/>
          <w:szCs w:val="21"/>
          <w:lang w:eastAsia="zh-CN"/>
        </w:rPr>
      </w:pPr>
      <w:r>
        <w:rPr>
          <w:rFonts w:hint="eastAsia" w:ascii="宋体" w:hAnsi="宋体" w:cs="宋体"/>
          <w:color w:val="000000"/>
          <w:kern w:val="2"/>
          <w:sz w:val="21"/>
          <w:szCs w:val="21"/>
        </w:rPr>
        <w:t>5.3开标地点（网上开标）：中国石油电子招标投标交易平台</w:t>
      </w:r>
      <w:r>
        <w:rPr>
          <w:rFonts w:hint="eastAsia" w:ascii="宋体" w:hAnsi="宋体" w:cs="宋体"/>
          <w:color w:val="000000"/>
          <w:kern w:val="2"/>
          <w:sz w:val="21"/>
          <w:szCs w:val="21"/>
          <w:lang w:eastAsia="zh-CN"/>
        </w:rPr>
        <w:t>。</w:t>
      </w:r>
    </w:p>
    <w:p>
      <w:pPr>
        <w:spacing w:line="288" w:lineRule="auto"/>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（投标人可进入“中国石油电子招标投标交易平台”开标大厅参加在线开标）</w:t>
      </w:r>
      <w:bookmarkStart w:id="27" w:name="_Toc491332588"/>
      <w:bookmarkStart w:id="28" w:name="_Toc520895299"/>
      <w:bookmarkStart w:id="29" w:name="_Toc17902426"/>
    </w:p>
    <w:p>
      <w:pPr>
        <w:rPr>
          <w:rFonts w:hint="eastAsia" w:ascii="Arial" w:hAnsi="Arial" w:eastAsia="黑体"/>
          <w:b/>
          <w:bCs/>
          <w:kern w:val="2"/>
          <w:sz w:val="32"/>
          <w:szCs w:val="32"/>
        </w:rPr>
      </w:pPr>
      <w:r>
        <w:rPr>
          <w:rFonts w:hint="eastAsia" w:ascii="Arial" w:hAnsi="Arial" w:eastAsia="黑体"/>
          <w:b/>
          <w:bCs/>
          <w:kern w:val="2"/>
          <w:sz w:val="32"/>
          <w:szCs w:val="32"/>
        </w:rPr>
        <w:t>6.发布公告的媒体</w:t>
      </w:r>
      <w:bookmarkEnd w:id="27"/>
      <w:bookmarkEnd w:id="28"/>
      <w:bookmarkEnd w:id="29"/>
    </w:p>
    <w:p>
      <w:pPr>
        <w:spacing w:line="288" w:lineRule="auto"/>
        <w:ind w:firstLine="420" w:firstLineChars="200"/>
        <w:rPr>
          <w:rFonts w:hint="eastAsia" w:hAnsi="宋体" w:cs="宋体"/>
          <w:bCs/>
          <w:kern w:val="2"/>
          <w:sz w:val="21"/>
          <w:szCs w:val="21"/>
        </w:rPr>
      </w:pPr>
      <w:r>
        <w:rPr>
          <w:rFonts w:hint="eastAsia" w:hAnsi="宋体" w:cs="宋体"/>
          <w:bCs/>
          <w:kern w:val="2"/>
          <w:sz w:val="21"/>
          <w:szCs w:val="21"/>
          <w:lang w:val="zh-CN"/>
        </w:rPr>
        <w:t>中国石油招标投标网</w:t>
      </w:r>
      <w:r>
        <w:rPr>
          <w:rFonts w:hint="eastAsia" w:hAnsi="宋体" w:cs="宋体"/>
          <w:bCs/>
          <w:kern w:val="2"/>
          <w:sz w:val="21"/>
          <w:szCs w:val="21"/>
        </w:rPr>
        <w:t>（</w:t>
      </w:r>
      <w:r>
        <w:rPr>
          <w:rFonts w:hint="eastAsia" w:ascii="宋体" w:hAnsi="宋体"/>
          <w:color w:val="000000"/>
          <w:sz w:val="21"/>
          <w:szCs w:val="21"/>
        </w:rPr>
        <w:t>https://www.cnpcbidding.com/</w:t>
      </w:r>
      <w:r>
        <w:rPr>
          <w:rFonts w:hint="eastAsia" w:hAnsi="宋体" w:cs="宋体"/>
          <w:bCs/>
          <w:kern w:val="2"/>
          <w:sz w:val="21"/>
          <w:szCs w:val="21"/>
        </w:rPr>
        <w:t>）</w:t>
      </w:r>
    </w:p>
    <w:p>
      <w:pPr>
        <w:rPr>
          <w:rFonts w:hint="eastAsia" w:ascii="Arial" w:hAnsi="Arial" w:eastAsia="黑体"/>
          <w:b/>
          <w:bCs/>
          <w:kern w:val="2"/>
          <w:sz w:val="32"/>
          <w:szCs w:val="32"/>
        </w:rPr>
      </w:pPr>
      <w:bookmarkStart w:id="30" w:name="_Toc17902427"/>
      <w:r>
        <w:rPr>
          <w:rFonts w:hint="eastAsia" w:ascii="Arial" w:hAnsi="Arial" w:eastAsia="黑体"/>
          <w:b/>
          <w:bCs/>
          <w:kern w:val="2"/>
          <w:sz w:val="32"/>
          <w:szCs w:val="32"/>
        </w:rPr>
        <w:t>7.联系方式</w:t>
      </w:r>
      <w:bookmarkEnd w:id="30"/>
      <w:r>
        <w:rPr>
          <w:rFonts w:hint="eastAsia"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color w:val="000000"/>
          <w:sz w:val="21"/>
          <w:szCs w:val="21"/>
        </w:rPr>
        <w:t>报名监督电话</w:t>
      </w:r>
      <w:r>
        <w:rPr>
          <w:rFonts w:hint="eastAsia" w:ascii="宋体" w:hAnsi="宋体" w:cs="宋体"/>
          <w:sz w:val="21"/>
          <w:szCs w:val="21"/>
        </w:rPr>
        <w:t>：0438-6278591</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  标  人：</w:t>
      </w:r>
      <w:r>
        <w:rPr>
          <w:rFonts w:hint="eastAsia" w:ascii="宋体" w:hAnsi="宋体" w:cs="宋体"/>
          <w:sz w:val="21"/>
          <w:szCs w:val="21"/>
        </w:rPr>
        <w:t>中国石油天然气股份有限公司吉林油田分公司</w:t>
      </w:r>
      <w:r>
        <w:rPr>
          <w:rFonts w:hint="eastAsia" w:ascii="宋体" w:hAnsi="宋体" w:cs="宋体"/>
          <w:bCs/>
          <w:color w:val="0000CC"/>
          <w:kern w:val="2"/>
          <w:sz w:val="21"/>
          <w:szCs w:val="21"/>
          <w:lang w:val="zh-CN"/>
        </w:rPr>
        <w:t xml:space="preserve">   </w:t>
      </w:r>
      <w:r>
        <w:rPr>
          <w:rFonts w:hint="eastAsia" w:ascii="宋体" w:hAnsi="宋体" w:cs="宋体"/>
          <w:bCs/>
          <w:kern w:val="2"/>
          <w:sz w:val="21"/>
          <w:szCs w:val="21"/>
          <w:lang w:val="zh-CN"/>
        </w:rPr>
        <w:t xml:space="preserve">       </w:t>
      </w:r>
    </w:p>
    <w:p>
      <w:pPr>
        <w:spacing w:line="288" w:lineRule="auto"/>
        <w:ind w:firstLine="420" w:firstLineChars="200"/>
        <w:rPr>
          <w:rFonts w:hint="eastAsia" w:ascii="宋体" w:hAnsi="宋体" w:cs="宋体"/>
          <w:sz w:val="21"/>
          <w:szCs w:val="21"/>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 xml:space="preserve">吉林省松原市宁江区沿江东路1219号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 138000 </w:t>
      </w:r>
    </w:p>
    <w:p>
      <w:pPr>
        <w:spacing w:line="288" w:lineRule="auto"/>
        <w:ind w:firstLine="420" w:firstLineChars="200"/>
        <w:rPr>
          <w:rFonts w:hint="eastAsia" w:ascii="宋体" w:hAnsi="宋体" w:cs="宋体"/>
          <w:bCs/>
          <w:color w:val="0000C8"/>
          <w:kern w:val="2"/>
          <w:sz w:val="21"/>
          <w:szCs w:val="21"/>
          <w:lang w:val="zh-CN"/>
        </w:rPr>
      </w:pPr>
      <w:r>
        <w:rPr>
          <w:rFonts w:hint="eastAsia" w:ascii="宋体" w:hAnsi="宋体" w:cs="宋体"/>
          <w:bCs/>
          <w:kern w:val="2"/>
          <w:sz w:val="21"/>
          <w:szCs w:val="21"/>
          <w:lang w:val="zh-CN"/>
        </w:rPr>
        <w:t>联  系  人：</w:t>
      </w:r>
      <w:r>
        <w:rPr>
          <w:rFonts w:hint="eastAsia" w:ascii="宋体" w:hAnsi="宋体" w:cs="宋体"/>
          <w:bCs/>
          <w:color w:val="0000C8"/>
          <w:kern w:val="2"/>
          <w:sz w:val="21"/>
          <w:szCs w:val="21"/>
          <w:lang w:val="zh-CN"/>
        </w:rPr>
        <w:t xml:space="preserve"> 刘先生</w:t>
      </w:r>
    </w:p>
    <w:p>
      <w:pPr>
        <w:spacing w:line="288" w:lineRule="auto"/>
        <w:ind w:firstLine="420" w:firstLineChars="200"/>
        <w:rPr>
          <w:rFonts w:hint="default" w:ascii="宋体" w:hAnsi="宋体" w:eastAsia="宋体" w:cs="宋体"/>
          <w:bCs/>
          <w:kern w:val="2"/>
          <w:sz w:val="21"/>
          <w:szCs w:val="21"/>
          <w:lang w:val="en-US" w:eastAsia="zh-CN"/>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2</w:t>
      </w:r>
      <w:r>
        <w:rPr>
          <w:rFonts w:hint="eastAsia" w:ascii="宋体" w:hAnsi="宋体" w:cs="宋体"/>
          <w:bCs/>
          <w:color w:val="0000C8"/>
          <w:kern w:val="2"/>
          <w:sz w:val="21"/>
          <w:szCs w:val="21"/>
          <w:lang w:val="zh-CN"/>
        </w:rPr>
        <w:t>1</w:t>
      </w:r>
      <w:r>
        <w:rPr>
          <w:rFonts w:hint="eastAsia" w:ascii="宋体" w:hAnsi="宋体" w:cs="宋体"/>
          <w:bCs/>
          <w:color w:val="0000C8"/>
          <w:kern w:val="2"/>
          <w:sz w:val="21"/>
          <w:szCs w:val="21"/>
          <w:lang w:val="en-US" w:eastAsia="zh-CN"/>
        </w:rPr>
        <w:t>667</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招标代理机构：</w:t>
      </w:r>
      <w:r>
        <w:rPr>
          <w:rFonts w:hint="eastAsia" w:ascii="宋体" w:hAnsi="宋体" w:cs="宋体"/>
          <w:sz w:val="21"/>
          <w:szCs w:val="21"/>
        </w:rPr>
        <w:t>中国石油天然气股份有限公司吉林油田分公司招标中心</w:t>
      </w:r>
      <w:r>
        <w:rPr>
          <w:rFonts w:hint="eastAsia" w:ascii="宋体" w:hAnsi="宋体" w:cs="宋体"/>
          <w:bCs/>
          <w:kern w:val="2"/>
          <w:sz w:val="21"/>
          <w:szCs w:val="21"/>
          <w:lang w:val="zh-CN"/>
        </w:rPr>
        <w:t xml:space="preserve">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吉林省松原市宁江区锦江大街267号</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编：138000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联  系  人：</w:t>
      </w:r>
      <w:r>
        <w:rPr>
          <w:rFonts w:hint="eastAsia" w:ascii="宋体" w:hAnsi="宋体" w:cs="宋体"/>
          <w:bCs/>
          <w:color w:val="0000C8"/>
          <w:kern w:val="2"/>
          <w:sz w:val="21"/>
          <w:szCs w:val="21"/>
          <w:lang w:val="zh-CN"/>
        </w:rPr>
        <w:t xml:space="preserve">郑女士/王先生 </w:t>
      </w:r>
    </w:p>
    <w:p>
      <w:pPr>
        <w:spacing w:line="288" w:lineRule="auto"/>
        <w:ind w:firstLine="420" w:firstLineChars="200"/>
        <w:rPr>
          <w:rFonts w:hint="default" w:ascii="宋体" w:hAnsi="宋体" w:eastAsia="宋体" w:cs="宋体"/>
          <w:bCs/>
          <w:color w:val="0000CC"/>
          <w:kern w:val="2"/>
          <w:sz w:val="21"/>
          <w:szCs w:val="21"/>
          <w:lang w:val="en-US" w:eastAsia="zh-CN"/>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78515</w:t>
      </w:r>
      <w:r>
        <w:rPr>
          <w:rFonts w:hint="eastAsia" w:ascii="宋体" w:hAnsi="宋体" w:cs="宋体"/>
          <w:bCs/>
          <w:color w:val="0000C8"/>
          <w:kern w:val="2"/>
          <w:sz w:val="21"/>
          <w:szCs w:val="21"/>
          <w:lang w:val="zh-CN"/>
        </w:rPr>
        <w:t xml:space="preserve"> /62</w:t>
      </w:r>
      <w:r>
        <w:rPr>
          <w:rFonts w:hint="eastAsia" w:ascii="宋体" w:hAnsi="宋体" w:cs="宋体"/>
          <w:bCs/>
          <w:color w:val="0000C8"/>
          <w:kern w:val="2"/>
          <w:sz w:val="21"/>
          <w:szCs w:val="21"/>
          <w:lang w:val="en-US" w:eastAsia="zh-CN"/>
        </w:rPr>
        <w:t>78510</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中国石油电子招标投标交易平台技术支持</w:t>
      </w:r>
      <w:r>
        <w:rPr>
          <w:rFonts w:hint="eastAsia" w:ascii="宋体" w:hAnsi="宋体" w:cs="宋体"/>
          <w:bCs/>
          <w:kern w:val="2"/>
          <w:sz w:val="21"/>
          <w:szCs w:val="21"/>
          <w:highlight w:val="none"/>
          <w:lang w:val="zh-CN"/>
        </w:rPr>
        <w:t>电话：</w:t>
      </w:r>
      <w:r>
        <w:rPr>
          <w:rFonts w:hint="eastAsia" w:ascii="宋体" w:hAnsi="宋体" w:cs="宋体"/>
          <w:sz w:val="21"/>
          <w:szCs w:val="21"/>
          <w:highlight w:val="none"/>
        </w:rPr>
        <w:t>40</w:t>
      </w:r>
      <w:r>
        <w:rPr>
          <w:rFonts w:hint="eastAsia" w:ascii="宋体" w:hAnsi="宋体" w:cs="宋体"/>
          <w:sz w:val="21"/>
          <w:szCs w:val="21"/>
        </w:rPr>
        <w:t>08800114根据语音提示说出“电子招标”（服务时间8:30-17:30），</w:t>
      </w:r>
      <w:r>
        <w:rPr>
          <w:rFonts w:hint="eastAsia" w:ascii="宋体" w:hAnsi="宋体" w:cs="宋体"/>
          <w:bCs/>
          <w:kern w:val="2"/>
          <w:sz w:val="21"/>
          <w:szCs w:val="21"/>
          <w:lang w:val="zh-CN"/>
        </w:rPr>
        <w:t>如有疑问请在工作时间咨询。</w:t>
      </w:r>
    </w:p>
    <w:p>
      <w:pPr>
        <w:rPr>
          <w:rFonts w:hint="eastAsia" w:ascii="Arial" w:hAnsi="Arial" w:eastAsia="黑体"/>
          <w:b/>
          <w:bCs/>
          <w:kern w:val="2"/>
          <w:sz w:val="32"/>
          <w:szCs w:val="32"/>
          <w:lang w:val="zh-CN" w:eastAsia="zh-CN"/>
        </w:rPr>
      </w:pPr>
      <w:r>
        <w:rPr>
          <w:rFonts w:hint="eastAsia" w:ascii="Arial" w:hAnsi="Arial" w:eastAsia="黑体"/>
          <w:b/>
          <w:bCs/>
          <w:kern w:val="2"/>
          <w:sz w:val="32"/>
          <w:szCs w:val="32"/>
          <w:lang w:val="en-US" w:eastAsia="zh-CN"/>
        </w:rPr>
        <w:t>8</w:t>
      </w:r>
      <w:r>
        <w:rPr>
          <w:rFonts w:hint="eastAsia" w:ascii="Arial" w:hAnsi="Arial" w:eastAsia="黑体"/>
          <w:b/>
          <w:bCs/>
          <w:kern w:val="2"/>
          <w:sz w:val="32"/>
          <w:szCs w:val="32"/>
          <w:lang w:val="zh-CN" w:eastAsia="zh-CN"/>
        </w:rPr>
        <w:t>.其他</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疫情期间不接待任何投标人来访，有问题可以通过信息化手段解决。疫情期间不允许投标人来开标现场。</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招标公告中未尽事宜或与招标文件不符之处，以招标文件为准。</w:t>
      </w:r>
    </w:p>
    <w:p>
      <w:pPr>
        <w:spacing w:line="288" w:lineRule="auto"/>
        <w:rPr>
          <w:rFonts w:hint="eastAsia" w:ascii="宋体" w:hAnsi="宋体" w:cs="宋体"/>
          <w:sz w:val="21"/>
          <w:szCs w:val="21"/>
        </w:rPr>
      </w:pPr>
    </w:p>
    <w:p>
      <w:pPr>
        <w:spacing w:line="288" w:lineRule="auto"/>
        <w:rPr>
          <w:rFonts w:hint="eastAsia" w:ascii="宋体" w:hAnsi="宋体" w:cs="宋体"/>
          <w:sz w:val="21"/>
          <w:szCs w:val="21"/>
        </w:rPr>
      </w:pPr>
    </w:p>
    <w:p>
      <w:pPr>
        <w:overflowPunct w:val="0"/>
        <w:spacing w:line="288" w:lineRule="auto"/>
        <w:ind w:right="420"/>
        <w:jc w:val="right"/>
        <w:rPr>
          <w:rFonts w:hint="eastAsia" w:ascii="宋体" w:hAnsi="宋体" w:cs="宋体"/>
          <w:sz w:val="21"/>
          <w:szCs w:val="21"/>
        </w:rPr>
      </w:pPr>
      <w:r>
        <w:rPr>
          <w:rFonts w:hint="eastAsia" w:ascii="宋体" w:hAnsi="宋体" w:cs="宋体"/>
          <w:sz w:val="21"/>
          <w:szCs w:val="21"/>
        </w:rPr>
        <w:t>中国石油吉林油田公司招标中心</w:t>
      </w:r>
    </w:p>
    <w:p>
      <w:pPr>
        <w:overflowPunct w:val="0"/>
        <w:spacing w:line="288" w:lineRule="auto"/>
        <w:ind w:right="420" w:firstLine="6090" w:firstLineChars="2900"/>
        <w:jc w:val="right"/>
        <w:rPr>
          <w:rFonts w:hint="eastAsia" w:ascii="宋体" w:hAnsi="宋体" w:cs="宋体"/>
          <w:color w:val="0000CC"/>
          <w:sz w:val="21"/>
          <w:szCs w:val="21"/>
        </w:rPr>
      </w:pPr>
      <w:r>
        <w:rPr>
          <w:rFonts w:hint="eastAsia" w:ascii="宋体" w:hAnsi="宋体" w:cs="宋体"/>
          <w:sz w:val="21"/>
          <w:szCs w:val="21"/>
        </w:rPr>
        <w:t xml:space="preserve">  </w:t>
      </w:r>
      <w:r>
        <w:rPr>
          <w:rFonts w:hint="eastAsia" w:ascii="宋体" w:hAnsi="宋体" w:cs="宋体"/>
          <w:color w:val="0000C8"/>
          <w:sz w:val="21"/>
          <w:szCs w:val="21"/>
        </w:rPr>
        <w:t>20</w:t>
      </w:r>
      <w:r>
        <w:rPr>
          <w:rFonts w:hint="eastAsia" w:ascii="宋体" w:hAnsi="宋体" w:cs="宋体"/>
          <w:color w:val="0000C8"/>
          <w:sz w:val="21"/>
          <w:szCs w:val="21"/>
          <w:lang w:val="en-US" w:eastAsia="zh-CN"/>
        </w:rPr>
        <w:t>20</w:t>
      </w:r>
      <w:r>
        <w:rPr>
          <w:rFonts w:hint="eastAsia" w:ascii="宋体" w:hAnsi="宋体" w:cs="宋体"/>
          <w:color w:val="0000C8"/>
          <w:sz w:val="21"/>
          <w:szCs w:val="21"/>
        </w:rPr>
        <w:t>年</w:t>
      </w:r>
      <w:r>
        <w:rPr>
          <w:rFonts w:hint="eastAsia" w:ascii="宋体" w:hAnsi="宋体" w:cs="宋体"/>
          <w:color w:val="0000C8"/>
          <w:sz w:val="21"/>
          <w:szCs w:val="21"/>
          <w:lang w:val="en-US" w:eastAsia="zh-CN"/>
        </w:rPr>
        <w:t>7</w:t>
      </w:r>
      <w:r>
        <w:rPr>
          <w:rFonts w:hint="eastAsia" w:ascii="宋体" w:hAnsi="宋体" w:cs="宋体"/>
          <w:color w:val="0000C8"/>
          <w:sz w:val="21"/>
          <w:szCs w:val="21"/>
        </w:rPr>
        <w:t>月</w:t>
      </w:r>
      <w:r>
        <w:rPr>
          <w:rFonts w:hint="eastAsia" w:ascii="宋体" w:hAnsi="宋体" w:cs="宋体"/>
          <w:color w:val="0000C8"/>
          <w:sz w:val="21"/>
          <w:szCs w:val="21"/>
          <w:lang w:val="en-US" w:eastAsia="zh-CN"/>
        </w:rPr>
        <w:t>28</w:t>
      </w:r>
      <w:r>
        <w:rPr>
          <w:rFonts w:hint="eastAsia" w:ascii="宋体" w:hAnsi="宋体" w:cs="宋体"/>
          <w:color w:val="0000C8"/>
          <w:sz w:val="21"/>
          <w:szCs w:val="21"/>
        </w:rPr>
        <w:t>日</w:t>
      </w:r>
    </w:p>
    <w:p>
      <w:pPr>
        <w:overflowPunct w:val="0"/>
        <w:spacing w:line="288" w:lineRule="auto"/>
        <w:ind w:right="420" w:firstLine="6380" w:firstLineChars="2900"/>
        <w:rPr>
          <w:color w:val="0000CC"/>
        </w:rPr>
      </w:pPr>
    </w:p>
    <w:p>
      <w:pPr>
        <w:spacing w:line="288" w:lineRule="auto"/>
        <w:rPr>
          <w:rFonts w:hint="eastAsia" w:hAnsi="宋体" w:cs="宋体"/>
          <w:szCs w:val="21"/>
        </w:rPr>
      </w:pPr>
      <w:r>
        <w:rPr>
          <w:rFonts w:hint="eastAsia" w:hAnsi="宋体" w:cs="宋体"/>
          <w:szCs w:val="21"/>
        </w:rPr>
        <w:t xml:space="preserve">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附件1：货物需求一览表</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3</w:t>
      </w:r>
      <w:r>
        <w:rPr>
          <w:rFonts w:hint="eastAsia" w:ascii="宋体" w:hAnsi="宋体" w:cs="宋体"/>
          <w:sz w:val="21"/>
          <w:szCs w:val="21"/>
        </w:rPr>
        <w:t>：《中国石油天然气集团有限公司投标人失信行为管理办法（试行）》</w:t>
      </w:r>
      <w:bookmarkStart w:id="31" w:name="page14"/>
      <w:bookmarkEnd w:id="31"/>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4</w:t>
      </w:r>
      <w:r>
        <w:rPr>
          <w:rFonts w:hint="eastAsia" w:ascii="宋体" w:hAnsi="宋体" w:cs="宋体"/>
          <w:sz w:val="21"/>
          <w:szCs w:val="21"/>
        </w:rPr>
        <w:t>：投标保证金提交流程</w:t>
      </w:r>
    </w:p>
    <w:p>
      <w:pPr>
        <w:spacing w:line="288" w:lineRule="auto"/>
        <w:outlineLvl w:val="2"/>
        <w:rPr>
          <w:rFonts w:hint="eastAsia" w:hAnsi="宋体" w:cs="宋体"/>
          <w:szCs w:val="21"/>
        </w:rPr>
      </w:pPr>
      <w:r>
        <w:rPr>
          <w:rFonts w:hint="eastAsia" w:ascii="黑体" w:hAnsi="宋体" w:eastAsia="黑体"/>
          <w:bCs/>
          <w:kern w:val="2"/>
          <w:sz w:val="28"/>
          <w:szCs w:val="28"/>
        </w:rPr>
        <w:br w:type="page"/>
      </w:r>
      <w:bookmarkStart w:id="32" w:name="_Toc8107"/>
      <w:r>
        <w:rPr>
          <w:rFonts w:hint="eastAsia" w:ascii="黑体" w:hAnsi="宋体" w:eastAsia="黑体"/>
          <w:bCs/>
          <w:kern w:val="2"/>
          <w:sz w:val="28"/>
          <w:szCs w:val="28"/>
        </w:rPr>
        <w:t>附件1：货物需求一览表</w:t>
      </w:r>
      <w:bookmarkEnd w:id="32"/>
    </w:p>
    <w:p>
      <w:pPr>
        <w:spacing w:after="120" w:afterLines="50" w:line="288" w:lineRule="auto"/>
        <w:jc w:val="center"/>
        <w:rPr>
          <w:rFonts w:hint="eastAsia" w:ascii="宋体" w:hAnsi="宋体" w:cs="宋体"/>
          <w:b/>
          <w:sz w:val="21"/>
          <w:szCs w:val="21"/>
        </w:rPr>
      </w:pPr>
      <w:r>
        <w:rPr>
          <w:rFonts w:hint="eastAsia" w:ascii="宋体" w:hAnsi="宋体" w:cs="宋体"/>
          <w:b/>
          <w:sz w:val="21"/>
          <w:szCs w:val="21"/>
        </w:rPr>
        <w:t>货物需求一览表</w:t>
      </w:r>
    </w:p>
    <w:tbl>
      <w:tblPr>
        <w:tblStyle w:val="3"/>
        <w:tblW w:w="89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30"/>
        <w:gridCol w:w="2409"/>
        <w:gridCol w:w="792"/>
        <w:gridCol w:w="504"/>
        <w:gridCol w:w="1020"/>
        <w:gridCol w:w="1536"/>
        <w:gridCol w:w="1416"/>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83" w:hRule="atLeast"/>
        </w:trPr>
        <w:tc>
          <w:tcPr>
            <w:tcW w:w="430" w:type="dxa"/>
            <w:vAlign w:val="center"/>
          </w:tcPr>
          <w:p>
            <w:pPr>
              <w:spacing w:line="288" w:lineRule="auto"/>
              <w:jc w:val="center"/>
              <w:rPr>
                <w:rFonts w:hint="eastAsia" w:ascii="宋体" w:hAnsi="宋体" w:cs="宋体"/>
                <w:b/>
                <w:bCs/>
                <w:color w:val="000000"/>
                <w:sz w:val="21"/>
                <w:szCs w:val="21"/>
              </w:rPr>
            </w:pPr>
            <w:r>
              <w:rPr>
                <w:rFonts w:hint="eastAsia" w:ascii="宋体" w:hAnsi="宋体" w:cs="宋体"/>
                <w:b/>
                <w:bCs/>
                <w:color w:val="000000"/>
                <w:sz w:val="21"/>
                <w:szCs w:val="21"/>
              </w:rPr>
              <w:t>序</w:t>
            </w:r>
            <w:r>
              <w:rPr>
                <w:rFonts w:hint="eastAsia" w:ascii="宋体" w:hAnsi="宋体" w:cs="宋体"/>
                <w:b/>
                <w:bCs/>
                <w:color w:val="000000"/>
                <w:sz w:val="21"/>
                <w:szCs w:val="21"/>
              </w:rPr>
              <w:br w:type="textWrapping"/>
            </w:r>
            <w:r>
              <w:rPr>
                <w:rFonts w:hint="eastAsia" w:ascii="宋体" w:hAnsi="宋体" w:cs="宋体"/>
                <w:b/>
                <w:bCs/>
                <w:color w:val="000000"/>
                <w:sz w:val="21"/>
                <w:szCs w:val="21"/>
              </w:rPr>
              <w:t>号</w:t>
            </w:r>
          </w:p>
        </w:tc>
        <w:tc>
          <w:tcPr>
            <w:tcW w:w="2409" w:type="dxa"/>
            <w:vAlign w:val="center"/>
          </w:tcPr>
          <w:p>
            <w:pPr>
              <w:spacing w:line="288" w:lineRule="auto"/>
              <w:jc w:val="center"/>
              <w:rPr>
                <w:rFonts w:hint="eastAsia" w:ascii="宋体" w:hAnsi="宋体" w:cs="宋体"/>
                <w:b/>
                <w:bCs/>
                <w:color w:val="000000"/>
                <w:sz w:val="21"/>
                <w:szCs w:val="21"/>
              </w:rPr>
            </w:pPr>
            <w:r>
              <w:rPr>
                <w:rFonts w:hint="eastAsia" w:ascii="宋体" w:hAnsi="宋体" w:cs="宋体"/>
                <w:b/>
                <w:bCs/>
                <w:color w:val="000000"/>
                <w:sz w:val="21"/>
                <w:szCs w:val="21"/>
              </w:rPr>
              <w:t>物料描述</w:t>
            </w:r>
          </w:p>
        </w:tc>
        <w:tc>
          <w:tcPr>
            <w:tcW w:w="792" w:type="dxa"/>
            <w:vAlign w:val="center"/>
          </w:tcPr>
          <w:p>
            <w:pPr>
              <w:spacing w:line="288" w:lineRule="auto"/>
              <w:jc w:val="center"/>
              <w:rPr>
                <w:rFonts w:hint="eastAsia" w:ascii="宋体" w:hAnsi="宋体" w:cs="宋体"/>
                <w:b/>
                <w:bCs/>
                <w:color w:val="000000"/>
                <w:sz w:val="21"/>
                <w:szCs w:val="21"/>
                <w:lang w:eastAsia="zh-CN"/>
              </w:rPr>
            </w:pPr>
            <w:r>
              <w:rPr>
                <w:rFonts w:hint="eastAsia" w:ascii="宋体" w:hAnsi="宋体" w:cs="宋体"/>
                <w:b/>
                <w:bCs/>
                <w:color w:val="000000"/>
                <w:sz w:val="21"/>
                <w:szCs w:val="21"/>
                <w:lang w:eastAsia="zh-CN"/>
              </w:rPr>
              <w:t>预计</w:t>
            </w:r>
          </w:p>
          <w:p>
            <w:pPr>
              <w:spacing w:line="288" w:lineRule="auto"/>
              <w:jc w:val="center"/>
              <w:rPr>
                <w:rFonts w:hint="eastAsia" w:ascii="宋体" w:hAnsi="宋体" w:cs="宋体"/>
                <w:b/>
                <w:bCs/>
                <w:color w:val="000000"/>
                <w:sz w:val="21"/>
                <w:szCs w:val="21"/>
              </w:rPr>
            </w:pPr>
            <w:r>
              <w:rPr>
                <w:rFonts w:hint="eastAsia" w:ascii="宋体" w:hAnsi="宋体" w:cs="宋体"/>
                <w:b/>
                <w:bCs/>
                <w:color w:val="000000"/>
                <w:sz w:val="21"/>
                <w:szCs w:val="21"/>
              </w:rPr>
              <w:t>数量</w:t>
            </w:r>
          </w:p>
        </w:tc>
        <w:tc>
          <w:tcPr>
            <w:tcW w:w="504" w:type="dxa"/>
            <w:vAlign w:val="center"/>
          </w:tcPr>
          <w:p>
            <w:pPr>
              <w:spacing w:line="288" w:lineRule="auto"/>
              <w:jc w:val="center"/>
              <w:rPr>
                <w:rFonts w:hint="eastAsia" w:ascii="宋体" w:hAnsi="宋体" w:cs="宋体"/>
                <w:sz w:val="21"/>
                <w:szCs w:val="21"/>
              </w:rPr>
            </w:pPr>
            <w:r>
              <w:rPr>
                <w:rFonts w:hint="eastAsia" w:ascii="宋体" w:hAnsi="宋体" w:cs="宋体"/>
                <w:b/>
                <w:bCs/>
                <w:color w:val="000000"/>
                <w:sz w:val="21"/>
                <w:szCs w:val="21"/>
              </w:rPr>
              <w:t>计量单位</w:t>
            </w:r>
          </w:p>
        </w:tc>
        <w:tc>
          <w:tcPr>
            <w:tcW w:w="1020" w:type="dxa"/>
            <w:vAlign w:val="center"/>
          </w:tcPr>
          <w:p>
            <w:pPr>
              <w:spacing w:line="288" w:lineRule="auto"/>
              <w:jc w:val="center"/>
              <w:rPr>
                <w:rFonts w:hint="eastAsia" w:ascii="宋体" w:hAnsi="宋体" w:cs="宋体"/>
                <w:b/>
                <w:bCs/>
                <w:color w:val="000000"/>
                <w:sz w:val="21"/>
                <w:szCs w:val="21"/>
              </w:rPr>
            </w:pPr>
            <w:r>
              <w:rPr>
                <w:rFonts w:hint="eastAsia" w:ascii="宋体" w:hAnsi="宋体" w:cs="宋体"/>
                <w:b/>
                <w:bCs/>
                <w:color w:val="000000"/>
                <w:sz w:val="21"/>
                <w:szCs w:val="21"/>
              </w:rPr>
              <w:t>技术要求或</w:t>
            </w:r>
          </w:p>
          <w:p>
            <w:pPr>
              <w:spacing w:line="288" w:lineRule="auto"/>
              <w:jc w:val="center"/>
              <w:rPr>
                <w:rFonts w:hint="eastAsia" w:ascii="宋体" w:hAnsi="宋体" w:cs="宋体"/>
                <w:b/>
                <w:bCs/>
                <w:color w:val="000000"/>
                <w:sz w:val="21"/>
                <w:szCs w:val="21"/>
              </w:rPr>
            </w:pPr>
            <w:r>
              <w:rPr>
                <w:rFonts w:hint="eastAsia" w:ascii="宋体" w:hAnsi="宋体" w:cs="宋体"/>
                <w:b/>
                <w:bCs/>
                <w:color w:val="000000"/>
                <w:sz w:val="21"/>
                <w:szCs w:val="21"/>
              </w:rPr>
              <w:t>执行标准</w:t>
            </w:r>
          </w:p>
        </w:tc>
        <w:tc>
          <w:tcPr>
            <w:tcW w:w="1536" w:type="dxa"/>
            <w:vAlign w:val="center"/>
          </w:tcPr>
          <w:p>
            <w:pPr>
              <w:spacing w:line="288" w:lineRule="auto"/>
              <w:jc w:val="center"/>
              <w:rPr>
                <w:rFonts w:hint="eastAsia" w:ascii="宋体" w:hAnsi="宋体" w:cs="宋体"/>
                <w:b/>
                <w:bCs/>
                <w:color w:val="000000"/>
                <w:sz w:val="21"/>
                <w:szCs w:val="21"/>
              </w:rPr>
            </w:pPr>
            <w:r>
              <w:rPr>
                <w:rFonts w:hint="eastAsia" w:ascii="宋体" w:hAnsi="宋体" w:cs="宋体"/>
                <w:b/>
                <w:bCs/>
                <w:color w:val="000000"/>
                <w:sz w:val="21"/>
                <w:szCs w:val="21"/>
              </w:rPr>
              <w:t>交货时间</w:t>
            </w:r>
          </w:p>
        </w:tc>
        <w:tc>
          <w:tcPr>
            <w:tcW w:w="1416" w:type="dxa"/>
            <w:vAlign w:val="center"/>
          </w:tcPr>
          <w:p>
            <w:pPr>
              <w:spacing w:line="288" w:lineRule="auto"/>
              <w:jc w:val="center"/>
              <w:rPr>
                <w:rFonts w:hint="eastAsia" w:ascii="宋体" w:hAnsi="宋体" w:cs="宋体"/>
                <w:b/>
                <w:bCs/>
                <w:color w:val="000000"/>
                <w:sz w:val="21"/>
                <w:szCs w:val="21"/>
              </w:rPr>
            </w:pPr>
            <w:r>
              <w:rPr>
                <w:rFonts w:hint="eastAsia" w:ascii="宋体" w:hAnsi="宋体" w:cs="宋体"/>
                <w:b/>
                <w:bCs/>
                <w:color w:val="000000"/>
                <w:sz w:val="21"/>
                <w:szCs w:val="21"/>
              </w:rPr>
              <w:t>交货地点</w:t>
            </w:r>
          </w:p>
        </w:tc>
        <w:tc>
          <w:tcPr>
            <w:tcW w:w="860" w:type="dxa"/>
            <w:vAlign w:val="center"/>
          </w:tcPr>
          <w:p>
            <w:pPr>
              <w:spacing w:line="288" w:lineRule="auto"/>
              <w:jc w:val="center"/>
              <w:rPr>
                <w:rFonts w:hint="eastAsia" w:ascii="宋体" w:hAnsi="宋体" w:cs="宋体"/>
                <w:b/>
                <w:bCs/>
                <w:color w:val="000000"/>
                <w:sz w:val="21"/>
                <w:szCs w:val="21"/>
              </w:rPr>
            </w:pPr>
            <w:r>
              <w:rPr>
                <w:rFonts w:hint="eastAsia" w:ascii="宋体" w:hAnsi="宋体" w:cs="宋体"/>
                <w:b/>
                <w:bCs/>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59" w:hRule="atLeast"/>
        </w:trPr>
        <w:tc>
          <w:tcPr>
            <w:tcW w:w="430" w:type="dxa"/>
            <w:vAlign w:val="center"/>
          </w:tcPr>
          <w:p>
            <w:pPr>
              <w:spacing w:line="288" w:lineRule="auto"/>
              <w:jc w:val="center"/>
              <w:rPr>
                <w:rFonts w:hint="eastAsia" w:ascii="宋体" w:hAnsi="宋体" w:cs="宋体"/>
                <w:b/>
                <w:bCs/>
                <w:color w:val="000000"/>
                <w:sz w:val="21"/>
                <w:szCs w:val="21"/>
              </w:rPr>
            </w:pPr>
            <w:r>
              <w:rPr>
                <w:rFonts w:hint="eastAsia" w:ascii="宋体" w:hAnsi="宋体" w:cs="宋体"/>
                <w:b/>
                <w:bCs/>
                <w:color w:val="000000"/>
                <w:sz w:val="21"/>
                <w:szCs w:val="21"/>
              </w:rPr>
              <w:t>1</w:t>
            </w:r>
          </w:p>
        </w:tc>
        <w:tc>
          <w:tcPr>
            <w:tcW w:w="2409" w:type="dxa"/>
            <w:vAlign w:val="center"/>
          </w:tcPr>
          <w:p>
            <w:pPr>
              <w:jc w:val="left"/>
              <w:rPr>
                <w:rFonts w:hint="eastAsia" w:ascii="宋体" w:hAnsi="宋体" w:eastAsia="宋体" w:cs="宋体"/>
                <w:sz w:val="21"/>
                <w:szCs w:val="21"/>
                <w:lang w:eastAsia="zh-CN"/>
              </w:rPr>
            </w:pPr>
            <w:r>
              <w:rPr>
                <w:rFonts w:hint="eastAsia" w:ascii="宋体" w:hAnsi="宋体" w:eastAsia="宋体" w:cs="宋体"/>
                <w:sz w:val="21"/>
                <w:szCs w:val="21"/>
              </w:rPr>
              <w:t>配电网自动化系统 ET PMS8000C 数据采集传输远动监测系统</w:t>
            </w:r>
          </w:p>
        </w:tc>
        <w:tc>
          <w:tcPr>
            <w:tcW w:w="792" w:type="dxa"/>
            <w:vAlign w:val="center"/>
          </w:tcPr>
          <w:p>
            <w:pPr>
              <w:spacing w:line="288" w:lineRule="auto"/>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w:t>
            </w:r>
          </w:p>
        </w:tc>
        <w:tc>
          <w:tcPr>
            <w:tcW w:w="504" w:type="dxa"/>
            <w:vAlign w:val="center"/>
          </w:tcPr>
          <w:p>
            <w:pPr>
              <w:spacing w:line="288" w:lineRule="auto"/>
              <w:jc w:val="center"/>
              <w:rPr>
                <w:rFonts w:hint="eastAsia" w:ascii="宋体" w:hAnsi="宋体" w:eastAsia="宋体" w:cs="宋体"/>
                <w:sz w:val="21"/>
                <w:szCs w:val="21"/>
                <w:lang w:eastAsia="zh-CN"/>
              </w:rPr>
            </w:pPr>
            <w:r>
              <w:rPr>
                <w:rFonts w:hint="eastAsia" w:ascii="宋体" w:hAnsi="宋体" w:eastAsia="宋体" w:cs="宋体"/>
                <w:color w:val="000000"/>
                <w:sz w:val="21"/>
                <w:szCs w:val="21"/>
              </w:rPr>
              <w:t>套</w:t>
            </w:r>
          </w:p>
        </w:tc>
        <w:tc>
          <w:tcPr>
            <w:tcW w:w="1020" w:type="dxa"/>
            <w:vAlign w:val="center"/>
          </w:tcPr>
          <w:p>
            <w:pPr>
              <w:spacing w:line="288" w:lineRule="auto"/>
              <w:jc w:val="center"/>
              <w:rPr>
                <w:rFonts w:hint="eastAsia" w:ascii="宋体" w:hAnsi="宋体" w:cs="宋体"/>
                <w:b/>
                <w:bCs/>
                <w:color w:val="000000"/>
                <w:sz w:val="21"/>
                <w:szCs w:val="21"/>
              </w:rPr>
            </w:pPr>
            <w:r>
              <w:rPr>
                <w:rFonts w:hint="eastAsia" w:ascii="宋体" w:hAnsi="宋体" w:cs="宋体"/>
                <w:bCs/>
                <w:sz w:val="21"/>
                <w:szCs w:val="21"/>
              </w:rPr>
              <w:t>见附件2</w:t>
            </w:r>
          </w:p>
        </w:tc>
        <w:tc>
          <w:tcPr>
            <w:tcW w:w="1536" w:type="dxa"/>
            <w:vAlign w:val="center"/>
          </w:tcPr>
          <w:p>
            <w:pPr>
              <w:spacing w:line="288" w:lineRule="auto"/>
              <w:jc w:val="center"/>
              <w:rPr>
                <w:rFonts w:hint="eastAsia" w:ascii="宋体" w:hAnsi="宋体" w:cs="宋体"/>
                <w:b/>
                <w:bCs/>
                <w:color w:val="000000"/>
                <w:sz w:val="21"/>
                <w:szCs w:val="21"/>
              </w:rPr>
            </w:pPr>
            <w:r>
              <w:rPr>
                <w:rFonts w:hint="eastAsia" w:ascii="宋体" w:hAnsi="宋体" w:cs="宋体"/>
                <w:bCs/>
                <w:sz w:val="21"/>
                <w:szCs w:val="21"/>
                <w:lang w:val="zh-CN"/>
              </w:rPr>
              <w:t>见招标公告</w:t>
            </w:r>
          </w:p>
        </w:tc>
        <w:tc>
          <w:tcPr>
            <w:tcW w:w="1416" w:type="dxa"/>
            <w:vAlign w:val="center"/>
          </w:tcPr>
          <w:p>
            <w:pPr>
              <w:spacing w:line="288" w:lineRule="auto"/>
              <w:jc w:val="center"/>
              <w:rPr>
                <w:rFonts w:hint="eastAsia" w:ascii="宋体" w:hAnsi="宋体" w:cs="宋体"/>
                <w:b/>
                <w:bCs/>
                <w:color w:val="000000"/>
                <w:sz w:val="21"/>
                <w:szCs w:val="21"/>
              </w:rPr>
            </w:pPr>
            <w:r>
              <w:rPr>
                <w:rFonts w:hint="eastAsia" w:ascii="宋体" w:hAnsi="宋体" w:cs="宋体"/>
                <w:bCs/>
                <w:sz w:val="21"/>
                <w:szCs w:val="21"/>
                <w:lang w:val="zh-CN"/>
              </w:rPr>
              <w:t>见招标公告</w:t>
            </w:r>
          </w:p>
        </w:tc>
        <w:tc>
          <w:tcPr>
            <w:tcW w:w="860" w:type="dxa"/>
            <w:vAlign w:val="center"/>
          </w:tcPr>
          <w:p>
            <w:pPr>
              <w:spacing w:line="288" w:lineRule="auto"/>
              <w:jc w:val="center"/>
              <w:rPr>
                <w:rFonts w:hint="eastAsia" w:ascii="宋体" w:hAnsi="宋体" w:cs="宋体"/>
                <w:b/>
                <w:bCs/>
                <w:color w:val="000000"/>
                <w:sz w:val="21"/>
                <w:szCs w:val="21"/>
              </w:rPr>
            </w:pPr>
          </w:p>
        </w:tc>
      </w:tr>
    </w:tbl>
    <w:p>
      <w:pPr>
        <w:spacing w:line="288" w:lineRule="auto"/>
        <w:rPr>
          <w:rFonts w:hint="eastAsia"/>
        </w:rPr>
      </w:pPr>
    </w:p>
    <w:p>
      <w:pPr>
        <w:spacing w:line="288" w:lineRule="auto"/>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bookmarkStart w:id="33" w:name="_Toc16269"/>
      <w:r>
        <w:rPr>
          <w:rFonts w:hint="eastAsia" w:ascii="黑体" w:hAnsi="宋体" w:eastAsia="黑体"/>
          <w:bCs/>
          <w:kern w:val="2"/>
          <w:sz w:val="28"/>
          <w:szCs w:val="28"/>
        </w:rPr>
        <w:t>附件2：技术要求</w:t>
      </w:r>
      <w:bookmarkEnd w:id="33"/>
    </w:p>
    <w:p>
      <w:pPr>
        <w:jc w:val="center"/>
        <w:rPr>
          <w:rFonts w:hint="eastAsia" w:ascii="黑体" w:hAnsi="黑体" w:eastAsia="黑体"/>
          <w:sz w:val="32"/>
          <w:szCs w:val="32"/>
        </w:rPr>
      </w:pPr>
      <w:r>
        <w:rPr>
          <w:rFonts w:hint="eastAsia" w:ascii="黑体" w:hAnsi="黑体" w:eastAsia="黑体"/>
          <w:sz w:val="21"/>
          <w:szCs w:val="21"/>
        </w:rPr>
        <w:t>数据采集传输远动监测系统招标技术规范</w:t>
      </w:r>
    </w:p>
    <w:p>
      <w:pPr>
        <w:rPr>
          <w:rFonts w:hint="eastAsia" w:ascii="黑体" w:hAnsi="黑体" w:eastAsia="黑体"/>
          <w:szCs w:val="21"/>
        </w:rPr>
      </w:pPr>
      <w:r>
        <w:rPr>
          <w:rFonts w:hint="eastAsia" w:ascii="黑体" w:hAnsi="黑体" w:eastAsia="黑体"/>
          <w:szCs w:val="21"/>
        </w:rPr>
        <w:t>1 范围</w:t>
      </w:r>
    </w:p>
    <w:p>
      <w:pPr>
        <w:spacing w:line="220" w:lineRule="atLeast"/>
        <w:ind w:firstLine="440" w:firstLineChars="200"/>
      </w:pPr>
      <w:r>
        <w:rPr>
          <w:rFonts w:hint="eastAsia"/>
        </w:rPr>
        <w:t>本标准规定了吉林油田公司数据采集传输远动监测系统招标的资质要求，技术要求等内容。</w:t>
      </w:r>
    </w:p>
    <w:p>
      <w:pPr>
        <w:ind w:firstLine="440" w:firstLineChars="200"/>
        <w:rPr>
          <w:rFonts w:hint="eastAsia" w:ascii="宋体" w:hAnsi="宋体"/>
          <w:szCs w:val="21"/>
        </w:rPr>
      </w:pPr>
      <w:r>
        <w:rPr>
          <w:rFonts w:hint="eastAsia"/>
        </w:rPr>
        <w:t>本标准使用于吉林油田公司数据采集传输远动监测系统的招标工作。</w:t>
      </w:r>
    </w:p>
    <w:p>
      <w:pPr>
        <w:rPr>
          <w:rFonts w:hint="eastAsia" w:ascii="黑体" w:hAnsi="黑体" w:eastAsia="黑体"/>
          <w:szCs w:val="21"/>
        </w:rPr>
      </w:pPr>
    </w:p>
    <w:p>
      <w:pPr>
        <w:rPr>
          <w:rFonts w:hint="eastAsia" w:ascii="黑体" w:hAnsi="黑体" w:eastAsia="黑体"/>
          <w:szCs w:val="21"/>
        </w:rPr>
      </w:pPr>
      <w:r>
        <w:rPr>
          <w:rFonts w:hint="eastAsia" w:ascii="黑体" w:hAnsi="黑体" w:eastAsia="黑体"/>
          <w:szCs w:val="21"/>
        </w:rPr>
        <w:t>2 规范性引用文件</w:t>
      </w:r>
    </w:p>
    <w:p>
      <w:pPr>
        <w:ind w:firstLine="440" w:firstLineChars="200"/>
        <w:rPr>
          <w:rFonts w:hint="eastAsia" w:ascii="宋体" w:hAnsi="宋体"/>
          <w:szCs w:val="21"/>
        </w:rPr>
      </w:pPr>
      <w:r>
        <w:rPr>
          <w:rFonts w:hint="eastAsia" w:ascii="宋体" w:hAnsi="宋体"/>
          <w:szCs w:val="21"/>
        </w:rPr>
        <w:t>下列文件对于本文件的应用是必不可少的。凡是注日期的引用文件，仅注日期的版本适用于本文件。凡是不注日期的引用文件，其最新版本（包括所有的修改单）适用于本文件。</w:t>
      </w:r>
    </w:p>
    <w:p>
      <w:pPr>
        <w:spacing w:line="360" w:lineRule="auto"/>
        <w:ind w:firstLine="444" w:firstLineChars="202"/>
        <w:rPr>
          <w:rFonts w:hint="eastAsia" w:ascii="宋体" w:hAnsi="宋体"/>
          <w:szCs w:val="21"/>
        </w:rPr>
      </w:pPr>
      <w:r>
        <w:rPr>
          <w:rFonts w:hint="eastAsia" w:ascii="宋体" w:hAnsi="宋体"/>
          <w:szCs w:val="21"/>
        </w:rPr>
        <w:t>GB/T 13729-2002          《远动终端设备》</w:t>
      </w:r>
    </w:p>
    <w:p>
      <w:pPr>
        <w:spacing w:line="360" w:lineRule="auto"/>
        <w:ind w:firstLine="444" w:firstLineChars="202"/>
        <w:rPr>
          <w:rFonts w:hint="eastAsia" w:ascii="宋体" w:hAnsi="宋体"/>
          <w:szCs w:val="21"/>
        </w:rPr>
      </w:pPr>
      <w:r>
        <w:rPr>
          <w:rFonts w:hint="eastAsia" w:ascii="宋体" w:hAnsi="宋体"/>
          <w:szCs w:val="21"/>
        </w:rPr>
        <w:t>DL/Z 634.56-2005         《远动设备及系统规约测试规则》</w:t>
      </w:r>
    </w:p>
    <w:p>
      <w:pPr>
        <w:spacing w:line="360" w:lineRule="auto"/>
        <w:ind w:firstLine="444" w:firstLineChars="202"/>
        <w:rPr>
          <w:rFonts w:hint="eastAsia" w:ascii="宋体" w:hAnsi="宋体"/>
          <w:szCs w:val="21"/>
        </w:rPr>
      </w:pPr>
      <w:r>
        <w:rPr>
          <w:rFonts w:ascii="宋体" w:hAnsi="宋体"/>
          <w:szCs w:val="21"/>
        </w:rPr>
        <w:t>DL/T</w:t>
      </w:r>
      <w:r>
        <w:rPr>
          <w:rFonts w:hint="eastAsia" w:ascii="宋体" w:hAnsi="宋体"/>
          <w:szCs w:val="21"/>
        </w:rPr>
        <w:t xml:space="preserve"> </w:t>
      </w:r>
      <w:r>
        <w:rPr>
          <w:rFonts w:ascii="宋体" w:hAnsi="宋体"/>
          <w:szCs w:val="21"/>
        </w:rPr>
        <w:t>516</w:t>
      </w:r>
      <w:r>
        <w:rPr>
          <w:rFonts w:hint="eastAsia" w:ascii="宋体" w:hAnsi="宋体"/>
          <w:szCs w:val="21"/>
        </w:rPr>
        <w:t xml:space="preserve">-2006            《电力调度自动化系统运行管理规程》          </w:t>
      </w:r>
    </w:p>
    <w:p>
      <w:pPr>
        <w:spacing w:line="360" w:lineRule="auto"/>
        <w:ind w:firstLine="444" w:firstLineChars="202"/>
        <w:rPr>
          <w:rFonts w:hint="eastAsia" w:ascii="宋体" w:hAnsi="宋体"/>
          <w:szCs w:val="21"/>
        </w:rPr>
      </w:pPr>
      <w:r>
        <w:rPr>
          <w:rFonts w:hint="eastAsia" w:ascii="宋体" w:hAnsi="宋体"/>
          <w:szCs w:val="21"/>
        </w:rPr>
        <w:t>GB 17626-2018            《电磁兼容试验》</w:t>
      </w:r>
    </w:p>
    <w:p>
      <w:pPr>
        <w:spacing w:line="360" w:lineRule="auto"/>
        <w:ind w:firstLine="444" w:firstLineChars="202"/>
        <w:rPr>
          <w:rFonts w:hint="eastAsia" w:ascii="宋体" w:hAnsi="宋体"/>
          <w:szCs w:val="21"/>
        </w:rPr>
      </w:pPr>
      <w:r>
        <w:rPr>
          <w:rFonts w:hint="eastAsia" w:ascii="宋体" w:hAnsi="宋体"/>
          <w:szCs w:val="21"/>
        </w:rPr>
        <w:t>DLT 825-2002             《电能计量子站安装接线规则》</w:t>
      </w:r>
    </w:p>
    <w:p>
      <w:pPr>
        <w:spacing w:line="360" w:lineRule="auto"/>
        <w:ind w:firstLine="444" w:firstLineChars="202"/>
        <w:rPr>
          <w:rFonts w:hint="eastAsia" w:ascii="宋体" w:hAnsi="宋体"/>
          <w:szCs w:val="21"/>
        </w:rPr>
      </w:pPr>
      <w:r>
        <w:rPr>
          <w:rFonts w:hint="eastAsia" w:ascii="宋体" w:hAnsi="宋体"/>
          <w:szCs w:val="21"/>
        </w:rPr>
        <w:t>DLT 721-2000             《配电网自动化远方终端》</w:t>
      </w:r>
    </w:p>
    <w:p>
      <w:pPr>
        <w:spacing w:line="360" w:lineRule="auto"/>
        <w:ind w:firstLine="444" w:firstLineChars="202"/>
        <w:rPr>
          <w:rFonts w:hint="eastAsia" w:ascii="宋体" w:hAnsi="宋体"/>
          <w:szCs w:val="21"/>
        </w:rPr>
      </w:pPr>
      <w:r>
        <w:rPr>
          <w:rFonts w:hint="eastAsia" w:ascii="宋体" w:hAnsi="宋体"/>
          <w:szCs w:val="21"/>
        </w:rPr>
        <w:t>DLT 634/667-2009         《远动设备及系统》</w:t>
      </w:r>
    </w:p>
    <w:p>
      <w:pPr>
        <w:spacing w:line="360" w:lineRule="auto"/>
        <w:ind w:firstLine="444" w:firstLineChars="202"/>
        <w:rPr>
          <w:rFonts w:hint="eastAsia" w:ascii="宋体" w:hAnsi="宋体"/>
          <w:szCs w:val="21"/>
        </w:rPr>
      </w:pPr>
      <w:r>
        <w:rPr>
          <w:rFonts w:hint="eastAsia" w:ascii="宋体" w:hAnsi="宋体"/>
          <w:szCs w:val="21"/>
        </w:rPr>
        <w:t>DLT 645-2007             《多功能电能表通讯协议》</w:t>
      </w:r>
    </w:p>
    <w:p>
      <w:pPr>
        <w:spacing w:line="360" w:lineRule="auto"/>
        <w:ind w:firstLine="444" w:firstLineChars="202"/>
        <w:rPr>
          <w:rFonts w:hint="eastAsia" w:ascii="宋体" w:hAnsi="宋体"/>
          <w:szCs w:val="21"/>
        </w:rPr>
      </w:pPr>
      <w:r>
        <w:rPr>
          <w:rFonts w:hint="eastAsia" w:ascii="宋体" w:hAnsi="宋体"/>
          <w:szCs w:val="21"/>
        </w:rPr>
        <w:t>GB 50093-2013            《自动化仪表工程施工及质量验收规范》</w:t>
      </w:r>
    </w:p>
    <w:p>
      <w:pPr>
        <w:spacing w:line="360" w:lineRule="auto"/>
        <w:ind w:firstLine="444" w:firstLineChars="202"/>
        <w:rPr>
          <w:rFonts w:hint="eastAsia" w:ascii="宋体" w:hAnsi="宋体"/>
          <w:szCs w:val="21"/>
        </w:rPr>
      </w:pPr>
      <w:r>
        <w:rPr>
          <w:rFonts w:hint="eastAsia" w:ascii="宋体" w:hAnsi="宋体"/>
          <w:szCs w:val="21"/>
        </w:rPr>
        <w:t>GBT 11287-2000           《振动、冲击、碰撞和地震试验》</w:t>
      </w:r>
    </w:p>
    <w:p>
      <w:pPr>
        <w:spacing w:line="360" w:lineRule="auto"/>
        <w:ind w:firstLine="444" w:firstLineChars="202"/>
        <w:rPr>
          <w:rFonts w:hint="eastAsia" w:ascii="宋体" w:hAnsi="宋体"/>
          <w:szCs w:val="21"/>
        </w:rPr>
      </w:pPr>
      <w:r>
        <w:rPr>
          <w:rFonts w:hint="eastAsia" w:ascii="宋体" w:hAnsi="宋体"/>
          <w:szCs w:val="21"/>
        </w:rPr>
        <w:t>GBT15153.2-2000          《远动设备及系统工作环境》</w:t>
      </w:r>
    </w:p>
    <w:p>
      <w:pPr>
        <w:spacing w:line="360" w:lineRule="auto"/>
        <w:ind w:firstLine="444" w:firstLineChars="202"/>
        <w:rPr>
          <w:rFonts w:hint="eastAsia" w:ascii="宋体" w:hAnsi="宋体"/>
          <w:szCs w:val="21"/>
        </w:rPr>
      </w:pPr>
      <w:r>
        <w:rPr>
          <w:rFonts w:hint="eastAsia" w:ascii="宋体" w:hAnsi="宋体"/>
          <w:szCs w:val="21"/>
        </w:rPr>
        <w:t>GB 50343-2012            《建筑物电子信息系统防雷技术规范》</w:t>
      </w:r>
    </w:p>
    <w:p>
      <w:pPr>
        <w:spacing w:line="360" w:lineRule="auto"/>
        <w:ind w:firstLine="444" w:firstLineChars="202"/>
        <w:rPr>
          <w:rFonts w:hint="eastAsia" w:ascii="宋体" w:hAnsi="宋体"/>
          <w:szCs w:val="21"/>
        </w:rPr>
      </w:pPr>
      <w:r>
        <w:rPr>
          <w:rFonts w:hint="eastAsia" w:ascii="宋体" w:hAnsi="宋体"/>
          <w:szCs w:val="21"/>
        </w:rPr>
        <w:t>YD/T1214-2006            《通信行业标准》</w:t>
      </w:r>
    </w:p>
    <w:p>
      <w:pPr>
        <w:spacing w:line="360" w:lineRule="auto"/>
        <w:ind w:firstLine="444" w:firstLineChars="202"/>
        <w:rPr>
          <w:rFonts w:hint="eastAsia" w:ascii="宋体" w:hAnsi="宋体"/>
          <w:szCs w:val="21"/>
        </w:rPr>
      </w:pPr>
      <w:r>
        <w:rPr>
          <w:rFonts w:hint="eastAsia" w:ascii="宋体" w:hAnsi="宋体"/>
          <w:szCs w:val="21"/>
        </w:rPr>
        <w:t>《电力企业现场标准化作业指导书应用手册》</w:t>
      </w:r>
    </w:p>
    <w:p>
      <w:pPr>
        <w:spacing w:line="360" w:lineRule="auto"/>
        <w:ind w:firstLine="444" w:firstLineChars="202"/>
        <w:rPr>
          <w:rFonts w:hint="eastAsia" w:ascii="宋体" w:hAnsi="宋体"/>
          <w:szCs w:val="21"/>
        </w:rPr>
      </w:pPr>
      <w:r>
        <w:rPr>
          <w:rFonts w:hint="eastAsia" w:ascii="宋体" w:hAnsi="宋体"/>
          <w:szCs w:val="21"/>
        </w:rPr>
        <w:t>《国家电网公司现场标准化作业指导书编制导则》</w:t>
      </w:r>
    </w:p>
    <w:p>
      <w:pPr>
        <w:spacing w:line="360" w:lineRule="auto"/>
        <w:ind w:firstLine="444" w:firstLineChars="202"/>
        <w:rPr>
          <w:rFonts w:hint="eastAsia" w:ascii="宋体" w:hAnsi="宋体"/>
          <w:szCs w:val="21"/>
        </w:rPr>
      </w:pPr>
      <w:r>
        <w:rPr>
          <w:rFonts w:hint="eastAsia" w:ascii="宋体" w:hAnsi="宋体"/>
          <w:szCs w:val="21"/>
        </w:rPr>
        <w:t>GB/T 191-2008            《包装储运图示标志》</w:t>
      </w:r>
    </w:p>
    <w:p>
      <w:pPr>
        <w:spacing w:line="360" w:lineRule="auto"/>
        <w:ind w:firstLine="444" w:firstLineChars="202"/>
        <w:rPr>
          <w:rFonts w:hint="eastAsia" w:ascii="宋体" w:hAnsi="宋体"/>
          <w:szCs w:val="21"/>
        </w:rPr>
      </w:pPr>
      <w:r>
        <w:rPr>
          <w:rFonts w:hint="eastAsia" w:ascii="宋体" w:hAnsi="宋体"/>
          <w:szCs w:val="21"/>
        </w:rPr>
        <w:t>GB/T 9969-2008           《工业产品使用说明书》</w:t>
      </w:r>
    </w:p>
    <w:p>
      <w:pPr>
        <w:spacing w:line="360" w:lineRule="auto"/>
        <w:ind w:firstLine="444" w:firstLineChars="202"/>
        <w:rPr>
          <w:rFonts w:hint="eastAsia" w:ascii="宋体" w:hAnsi="宋体"/>
          <w:szCs w:val="21"/>
        </w:rPr>
      </w:pPr>
      <w:r>
        <w:rPr>
          <w:rFonts w:ascii="宋体" w:hAnsi="宋体"/>
          <w:szCs w:val="21"/>
        </w:rPr>
        <w:t>GB</w:t>
      </w:r>
      <w:r>
        <w:rPr>
          <w:rFonts w:hint="eastAsia" w:ascii="宋体" w:hAnsi="宋体"/>
          <w:szCs w:val="21"/>
        </w:rPr>
        <w:t>/T</w:t>
      </w:r>
      <w:r>
        <w:rPr>
          <w:rFonts w:ascii="宋体" w:hAnsi="宋体"/>
          <w:szCs w:val="21"/>
        </w:rPr>
        <w:t>2887</w:t>
      </w:r>
      <w:r>
        <w:rPr>
          <w:rFonts w:hint="eastAsia" w:ascii="宋体" w:hAnsi="宋体"/>
          <w:szCs w:val="21"/>
        </w:rPr>
        <w:t xml:space="preserve">-2011            </w:t>
      </w:r>
      <w:r>
        <w:rPr>
          <w:rFonts w:ascii="宋体" w:hAnsi="宋体"/>
          <w:szCs w:val="21"/>
        </w:rPr>
        <w:t>《计算机场地</w:t>
      </w:r>
      <w:r>
        <w:rPr>
          <w:rFonts w:hint="eastAsia" w:ascii="宋体" w:hAnsi="宋体"/>
          <w:szCs w:val="21"/>
        </w:rPr>
        <w:t>通用规范</w:t>
      </w:r>
      <w:r>
        <w:rPr>
          <w:rFonts w:ascii="宋体" w:hAnsi="宋体"/>
          <w:szCs w:val="21"/>
        </w:rPr>
        <w:t>》</w:t>
      </w:r>
    </w:p>
    <w:p>
      <w:pPr>
        <w:spacing w:line="360" w:lineRule="auto"/>
        <w:ind w:firstLine="444" w:firstLineChars="202"/>
        <w:rPr>
          <w:rFonts w:hint="eastAsia" w:ascii="宋体" w:hAnsi="宋体"/>
          <w:szCs w:val="21"/>
        </w:rPr>
      </w:pPr>
      <w:r>
        <w:rPr>
          <w:rFonts w:hint="eastAsia" w:ascii="宋体" w:hAnsi="宋体"/>
          <w:szCs w:val="21"/>
        </w:rPr>
        <w:t>IEC61970、jish61968-2016     《Common Information Model公用信息模型》</w:t>
      </w:r>
    </w:p>
    <w:p>
      <w:pPr>
        <w:spacing w:line="360" w:lineRule="auto"/>
        <w:ind w:firstLine="444" w:firstLineChars="202"/>
        <w:rPr>
          <w:rFonts w:hint="eastAsia" w:ascii="宋体" w:hAnsi="宋体"/>
          <w:szCs w:val="21"/>
        </w:rPr>
      </w:pPr>
      <w:r>
        <w:rPr>
          <w:rFonts w:ascii="宋体" w:hAnsi="宋体"/>
          <w:szCs w:val="21"/>
        </w:rPr>
        <w:t>EN 50178</w:t>
      </w:r>
      <w:r>
        <w:rPr>
          <w:rFonts w:hint="eastAsia" w:ascii="宋体" w:hAnsi="宋体"/>
          <w:szCs w:val="21"/>
        </w:rPr>
        <w:t xml:space="preserve">                 </w:t>
      </w:r>
      <w:r>
        <w:rPr>
          <w:rFonts w:ascii="宋体" w:hAnsi="宋体"/>
          <w:szCs w:val="21"/>
        </w:rPr>
        <w:t>《用于电力安装的电气设备》</w:t>
      </w:r>
    </w:p>
    <w:p>
      <w:pPr>
        <w:spacing w:line="360" w:lineRule="auto"/>
        <w:ind w:firstLine="444" w:firstLineChars="202"/>
        <w:rPr>
          <w:rFonts w:hint="eastAsia" w:ascii="宋体" w:hAnsi="宋体"/>
          <w:szCs w:val="21"/>
        </w:rPr>
      </w:pPr>
      <w:r>
        <w:rPr>
          <w:rFonts w:ascii="宋体" w:hAnsi="宋体"/>
          <w:szCs w:val="21"/>
        </w:rPr>
        <w:t>EN 50081-2</w:t>
      </w:r>
      <w:r>
        <w:rPr>
          <w:rFonts w:hint="eastAsia" w:ascii="宋体" w:hAnsi="宋体"/>
          <w:szCs w:val="21"/>
        </w:rPr>
        <w:t xml:space="preserve">  </w:t>
      </w:r>
      <w:r>
        <w:rPr>
          <w:rFonts w:ascii="宋体" w:hAnsi="宋体"/>
          <w:szCs w:val="21"/>
        </w:rPr>
        <w:t>《电磁兼容性 – 一般性干扰释放标准 第2部分：工业环境》</w:t>
      </w:r>
    </w:p>
    <w:p>
      <w:pPr>
        <w:spacing w:line="360" w:lineRule="auto"/>
        <w:ind w:firstLine="444" w:firstLineChars="202"/>
        <w:rPr>
          <w:rFonts w:hint="eastAsia" w:ascii="宋体" w:hAnsi="宋体"/>
          <w:szCs w:val="21"/>
        </w:rPr>
      </w:pPr>
      <w:r>
        <w:rPr>
          <w:rFonts w:ascii="宋体" w:hAnsi="宋体"/>
          <w:szCs w:val="21"/>
        </w:rPr>
        <w:t>EN 50082-2</w:t>
      </w:r>
      <w:r>
        <w:rPr>
          <w:rFonts w:hint="eastAsia" w:ascii="宋体" w:hAnsi="宋体"/>
          <w:szCs w:val="21"/>
        </w:rPr>
        <w:t xml:space="preserve"> </w:t>
      </w:r>
      <w:r>
        <w:rPr>
          <w:rFonts w:ascii="宋体" w:hAnsi="宋体"/>
          <w:szCs w:val="21"/>
        </w:rPr>
        <w:t>《电磁兼容性 – 一般性抗扰度标准 第2部分：工业环境》</w:t>
      </w:r>
    </w:p>
    <w:p>
      <w:pPr>
        <w:spacing w:line="360" w:lineRule="auto"/>
        <w:ind w:firstLine="444" w:firstLineChars="202"/>
        <w:rPr>
          <w:rFonts w:hint="eastAsia" w:ascii="宋体" w:hAnsi="宋体"/>
          <w:szCs w:val="21"/>
        </w:rPr>
      </w:pPr>
      <w:r>
        <w:rPr>
          <w:rFonts w:ascii="宋体" w:hAnsi="宋体"/>
          <w:szCs w:val="21"/>
        </w:rPr>
        <w:t>EN 55022</w:t>
      </w:r>
      <w:r>
        <w:rPr>
          <w:rFonts w:hint="eastAsia" w:ascii="宋体" w:hAnsi="宋体"/>
          <w:szCs w:val="21"/>
        </w:rPr>
        <w:t xml:space="preserve">   </w:t>
      </w:r>
      <w:r>
        <w:rPr>
          <w:rFonts w:ascii="宋体" w:hAnsi="宋体"/>
          <w:szCs w:val="21"/>
        </w:rPr>
        <w:t>《用于信息技术设备无线电干扰特性的极限值和测量方法》</w:t>
      </w:r>
    </w:p>
    <w:p>
      <w:pPr>
        <w:pStyle w:val="4"/>
        <w:rPr>
          <w:color w:val="000000"/>
          <w:szCs w:val="21"/>
        </w:rPr>
      </w:pPr>
    </w:p>
    <w:p>
      <w:pPr>
        <w:rPr>
          <w:rFonts w:hint="eastAsia" w:ascii="黑体" w:hAnsi="黑体" w:eastAsia="黑体"/>
          <w:szCs w:val="21"/>
        </w:rPr>
      </w:pPr>
      <w:r>
        <w:rPr>
          <w:rFonts w:hint="eastAsia" w:ascii="黑体" w:hAnsi="黑体" w:eastAsia="黑体"/>
          <w:szCs w:val="21"/>
        </w:rPr>
        <w:t>3 资质要求</w:t>
      </w:r>
    </w:p>
    <w:p>
      <w:pPr>
        <w:rPr>
          <w:rFonts w:hint="eastAsia" w:ascii="黑体" w:hAnsi="黑体" w:eastAsia="黑体"/>
          <w:szCs w:val="21"/>
        </w:rPr>
      </w:pPr>
    </w:p>
    <w:p>
      <w:pPr>
        <w:rPr>
          <w:rFonts w:hint="eastAsia" w:ascii="黑体" w:hAnsi="黑体" w:eastAsia="黑体"/>
          <w:szCs w:val="21"/>
          <w:lang w:eastAsia="zh-CN"/>
        </w:rPr>
      </w:pPr>
      <w:r>
        <w:rPr>
          <w:rFonts w:hint="eastAsia" w:ascii="黑体" w:hAnsi="黑体" w:eastAsia="黑体"/>
          <w:szCs w:val="21"/>
          <w:lang w:eastAsia="zh-CN"/>
        </w:rPr>
        <w:t>详见招标公告</w:t>
      </w:r>
    </w:p>
    <w:p>
      <w:pPr>
        <w:rPr>
          <w:rFonts w:hint="eastAsia" w:ascii="黑体" w:hAnsi="黑体" w:eastAsia="黑体"/>
          <w:szCs w:val="21"/>
        </w:rPr>
      </w:pPr>
      <w:r>
        <w:rPr>
          <w:rFonts w:hint="eastAsia" w:ascii="黑体" w:hAnsi="黑体" w:eastAsia="黑体"/>
          <w:szCs w:val="21"/>
        </w:rPr>
        <w:t>4 技术要求</w:t>
      </w:r>
    </w:p>
    <w:p>
      <w:pPr>
        <w:widowControl/>
        <w:spacing w:line="360" w:lineRule="auto"/>
        <w:jc w:val="left"/>
        <w:rPr>
          <w:rFonts w:hint="eastAsia"/>
        </w:rPr>
      </w:pPr>
      <w:r>
        <w:rPr>
          <w:rFonts w:hint="eastAsia"/>
          <w:szCs w:val="21"/>
        </w:rPr>
        <w:t xml:space="preserve">4. </w:t>
      </w:r>
      <w:r>
        <w:rPr>
          <w:rFonts w:hint="eastAsia"/>
        </w:rPr>
        <w:t>1 概述</w:t>
      </w:r>
    </w:p>
    <w:p>
      <w:pPr>
        <w:widowControl/>
        <w:spacing w:line="360" w:lineRule="auto"/>
        <w:ind w:firstLine="444" w:firstLineChars="202"/>
        <w:jc w:val="left"/>
        <w:rPr>
          <w:rFonts w:hint="eastAsia"/>
        </w:rPr>
      </w:pPr>
      <w:r>
        <w:rPr>
          <w:rFonts w:hint="eastAsia"/>
        </w:rPr>
        <w:t>本规格书说明了数据采集传输远动监测系统的基本功能要求及供货范围。</w:t>
      </w:r>
    </w:p>
    <w:p>
      <w:pPr>
        <w:widowControl/>
        <w:spacing w:line="360" w:lineRule="auto"/>
        <w:jc w:val="left"/>
        <w:rPr>
          <w:rFonts w:hint="eastAsia"/>
        </w:rPr>
      </w:pPr>
      <w:r>
        <w:rPr>
          <w:rFonts w:hint="eastAsia"/>
          <w:szCs w:val="21"/>
        </w:rPr>
        <w:t xml:space="preserve">4. </w:t>
      </w:r>
      <w:r>
        <w:rPr>
          <w:rFonts w:hint="eastAsia"/>
        </w:rPr>
        <w:t>2 系统组成及供货范围</w:t>
      </w:r>
    </w:p>
    <w:p>
      <w:pPr>
        <w:widowControl/>
        <w:spacing w:line="360" w:lineRule="auto"/>
        <w:jc w:val="left"/>
        <w:rPr>
          <w:rFonts w:hint="eastAsia"/>
        </w:rPr>
      </w:pPr>
      <w:r>
        <w:rPr>
          <w:rFonts w:hint="eastAsia"/>
          <w:szCs w:val="21"/>
        </w:rPr>
        <w:t xml:space="preserve">4. </w:t>
      </w:r>
      <w:r>
        <w:rPr>
          <w:rFonts w:hint="eastAsia"/>
        </w:rPr>
        <w:t>2.1系统硬件配置表</w:t>
      </w:r>
    </w:p>
    <w:tbl>
      <w:tblPr>
        <w:tblStyle w:val="3"/>
        <w:tblW w:w="83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054"/>
        <w:gridCol w:w="3969"/>
        <w:gridCol w:w="748"/>
        <w:gridCol w:w="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center"/>
              <w:rPr>
                <w:rFonts w:hint="eastAsia"/>
              </w:rPr>
            </w:pPr>
            <w:r>
              <w:rPr>
                <w:rFonts w:hint="eastAsia"/>
              </w:rPr>
              <w:t>序号</w:t>
            </w:r>
          </w:p>
        </w:tc>
        <w:tc>
          <w:tcPr>
            <w:tcW w:w="2054" w:type="dxa"/>
            <w:vAlign w:val="top"/>
          </w:tcPr>
          <w:p>
            <w:pPr>
              <w:widowControl/>
              <w:spacing w:line="360" w:lineRule="auto"/>
              <w:jc w:val="center"/>
              <w:rPr>
                <w:rFonts w:hint="eastAsia"/>
              </w:rPr>
            </w:pPr>
            <w:r>
              <w:rPr>
                <w:rFonts w:hint="eastAsia"/>
              </w:rPr>
              <w:t>物资名称</w:t>
            </w:r>
          </w:p>
        </w:tc>
        <w:tc>
          <w:tcPr>
            <w:tcW w:w="3969" w:type="dxa"/>
            <w:vAlign w:val="top"/>
          </w:tcPr>
          <w:p>
            <w:pPr>
              <w:spacing w:line="360" w:lineRule="auto"/>
              <w:jc w:val="center"/>
              <w:rPr>
                <w:rFonts w:hint="eastAsia"/>
              </w:rPr>
            </w:pPr>
            <w:r>
              <w:rPr>
                <w:rFonts w:hint="eastAsia"/>
              </w:rPr>
              <w:t>规格型号、性能要求</w:t>
            </w:r>
          </w:p>
        </w:tc>
        <w:tc>
          <w:tcPr>
            <w:tcW w:w="748" w:type="dxa"/>
            <w:vAlign w:val="top"/>
          </w:tcPr>
          <w:p>
            <w:pPr>
              <w:widowControl/>
              <w:spacing w:line="360" w:lineRule="auto"/>
              <w:jc w:val="center"/>
              <w:rPr>
                <w:rFonts w:hint="eastAsia"/>
              </w:rPr>
            </w:pPr>
            <w:r>
              <w:rPr>
                <w:rFonts w:hint="eastAsia"/>
              </w:rPr>
              <w:t>单位</w:t>
            </w:r>
          </w:p>
        </w:tc>
        <w:tc>
          <w:tcPr>
            <w:tcW w:w="843" w:type="dxa"/>
            <w:vAlign w:val="top"/>
          </w:tcPr>
          <w:p>
            <w:pPr>
              <w:widowControl/>
              <w:spacing w:line="360" w:lineRule="auto"/>
              <w:jc w:val="center"/>
              <w:rPr>
                <w:rFonts w:hint="eastAsia"/>
              </w:rPr>
            </w:pPr>
            <w:r>
              <w:rPr>
                <w:rFonts w:hint="eastAsi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48" w:type="dxa"/>
            <w:vAlign w:val="top"/>
          </w:tcPr>
          <w:p>
            <w:pPr>
              <w:widowControl/>
              <w:spacing w:line="360" w:lineRule="auto"/>
              <w:jc w:val="left"/>
              <w:rPr>
                <w:rFonts w:hint="eastAsia"/>
              </w:rPr>
            </w:pPr>
            <w:r>
              <w:rPr>
                <w:rFonts w:hint="eastAsia"/>
              </w:rPr>
              <w:t>1</w:t>
            </w:r>
          </w:p>
        </w:tc>
        <w:tc>
          <w:tcPr>
            <w:tcW w:w="2054" w:type="dxa"/>
            <w:vAlign w:val="top"/>
          </w:tcPr>
          <w:p>
            <w:pPr>
              <w:widowControl/>
              <w:spacing w:line="360" w:lineRule="auto"/>
              <w:jc w:val="left"/>
              <w:rPr>
                <w:rFonts w:hint="eastAsia"/>
              </w:rPr>
            </w:pPr>
            <w:r>
              <w:rPr>
                <w:rFonts w:hint="eastAsia"/>
              </w:rPr>
              <w:t>主系统构成硬件</w:t>
            </w:r>
          </w:p>
        </w:tc>
        <w:tc>
          <w:tcPr>
            <w:tcW w:w="5560" w:type="dxa"/>
            <w:gridSpan w:val="3"/>
            <w:vAlign w:val="top"/>
          </w:tcPr>
          <w:p>
            <w:pPr>
              <w:widowControl/>
              <w:spacing w:line="360" w:lineRule="auto"/>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w:t>
            </w:r>
          </w:p>
        </w:tc>
        <w:tc>
          <w:tcPr>
            <w:tcW w:w="2054" w:type="dxa"/>
            <w:vAlign w:val="top"/>
          </w:tcPr>
          <w:p>
            <w:pPr>
              <w:widowControl/>
              <w:spacing w:line="360" w:lineRule="auto"/>
              <w:jc w:val="left"/>
              <w:rPr>
                <w:rFonts w:hint="eastAsia"/>
              </w:rPr>
            </w:pPr>
            <w:r>
              <w:rPr>
                <w:rFonts w:hint="eastAsia"/>
              </w:rPr>
              <w:t>远传计量专用箱体</w:t>
            </w:r>
          </w:p>
        </w:tc>
        <w:tc>
          <w:tcPr>
            <w:tcW w:w="3969" w:type="dxa"/>
            <w:vAlign w:val="top"/>
          </w:tcPr>
          <w:p>
            <w:pPr>
              <w:widowControl/>
              <w:spacing w:line="360" w:lineRule="auto"/>
              <w:jc w:val="left"/>
              <w:rPr>
                <w:rFonts w:hint="eastAsia"/>
              </w:rPr>
            </w:pPr>
          </w:p>
        </w:tc>
        <w:tc>
          <w:tcPr>
            <w:tcW w:w="748" w:type="dxa"/>
            <w:vAlign w:val="top"/>
          </w:tcPr>
          <w:p>
            <w:pPr>
              <w:widowControl/>
              <w:spacing w:line="360" w:lineRule="auto"/>
              <w:jc w:val="center"/>
              <w:rPr>
                <w:rFonts w:hint="eastAsia"/>
              </w:rPr>
            </w:pPr>
            <w:r>
              <w:rPr>
                <w:rFonts w:hint="eastAsia"/>
              </w:rPr>
              <w:t>套</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1.1.1</w:t>
            </w:r>
          </w:p>
        </w:tc>
        <w:tc>
          <w:tcPr>
            <w:tcW w:w="2054" w:type="dxa"/>
            <w:vAlign w:val="top"/>
          </w:tcPr>
          <w:p>
            <w:pPr>
              <w:widowControl/>
              <w:spacing w:line="360" w:lineRule="auto"/>
              <w:jc w:val="left"/>
              <w:rPr>
                <w:rFonts w:hint="eastAsia"/>
              </w:rPr>
            </w:pPr>
            <w:r>
              <w:rPr>
                <w:rFonts w:hint="eastAsia"/>
              </w:rPr>
              <w:t>集抄器箱</w:t>
            </w:r>
          </w:p>
        </w:tc>
        <w:tc>
          <w:tcPr>
            <w:tcW w:w="3969" w:type="dxa"/>
            <w:vAlign w:val="top"/>
          </w:tcPr>
          <w:p>
            <w:pPr>
              <w:widowControl/>
              <w:spacing w:line="360" w:lineRule="auto"/>
              <w:jc w:val="left"/>
              <w:rPr>
                <w:rFonts w:hint="eastAsia"/>
              </w:rPr>
            </w:pPr>
            <w:bookmarkStart w:id="34" w:name="_Hlk38267906"/>
            <w:r>
              <w:rPr>
                <w:rFonts w:hint="eastAsia"/>
              </w:rPr>
              <w:t>53</w:t>
            </w:r>
            <w:r>
              <w:t>5</w:t>
            </w:r>
            <w:r>
              <w:rPr>
                <w:rFonts w:hint="eastAsia"/>
              </w:rPr>
              <w:t>×4</w:t>
            </w:r>
            <w:r>
              <w:t>80</w:t>
            </w:r>
            <w:r>
              <w:rPr>
                <w:rFonts w:hint="eastAsia"/>
              </w:rPr>
              <w:t>×</w:t>
            </w:r>
            <w:r>
              <w:t>165</w:t>
            </w:r>
            <w:r>
              <w:rPr>
                <w:rFonts w:hint="eastAsia"/>
              </w:rPr>
              <w:t>mm</w:t>
            </w:r>
            <w:bookmarkEnd w:id="34"/>
          </w:p>
        </w:tc>
        <w:tc>
          <w:tcPr>
            <w:tcW w:w="748" w:type="dxa"/>
            <w:vAlign w:val="top"/>
          </w:tcPr>
          <w:p>
            <w:pPr>
              <w:widowControl/>
              <w:spacing w:line="360" w:lineRule="auto"/>
              <w:jc w:val="center"/>
              <w:rPr>
                <w:rFonts w:hint="eastAsia"/>
              </w:rPr>
            </w:pPr>
            <w:r>
              <w:rPr>
                <w:rFonts w:hint="eastAsia"/>
              </w:rPr>
              <w:t>个</w:t>
            </w:r>
          </w:p>
        </w:tc>
        <w:tc>
          <w:tcPr>
            <w:tcW w:w="843" w:type="dxa"/>
            <w:vAlign w:val="top"/>
          </w:tcPr>
          <w:p>
            <w:pPr>
              <w:widowControl/>
              <w:spacing w:line="360" w:lineRule="auto"/>
              <w:jc w:val="center"/>
              <w:rPr>
                <w:rFonts w:hint="eastAsia"/>
              </w:rP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1.1.2</w:t>
            </w:r>
          </w:p>
        </w:tc>
        <w:tc>
          <w:tcPr>
            <w:tcW w:w="2054" w:type="dxa"/>
            <w:vAlign w:val="top"/>
          </w:tcPr>
          <w:p>
            <w:pPr>
              <w:widowControl/>
              <w:spacing w:line="360" w:lineRule="auto"/>
              <w:jc w:val="left"/>
              <w:rPr>
                <w:rFonts w:hint="eastAsia"/>
              </w:rPr>
            </w:pPr>
            <w:r>
              <w:rPr>
                <w:rFonts w:hint="eastAsia"/>
              </w:rPr>
              <w:t>接线端子</w:t>
            </w:r>
          </w:p>
        </w:tc>
        <w:tc>
          <w:tcPr>
            <w:tcW w:w="3969" w:type="dxa"/>
            <w:vAlign w:val="top"/>
          </w:tcPr>
          <w:p>
            <w:pPr>
              <w:widowControl/>
              <w:spacing w:line="360" w:lineRule="auto"/>
              <w:jc w:val="left"/>
              <w:rPr>
                <w:rFonts w:hint="eastAsia"/>
              </w:rPr>
            </w:pPr>
            <w:r>
              <w:rPr>
                <w:rFonts w:hint="eastAsia"/>
              </w:rPr>
              <w:t>DL95</w:t>
            </w:r>
            <w:r>
              <w:rPr>
                <w:rFonts w:hint="eastAsia" w:ascii="宋体" w:hAnsi="宋体"/>
              </w:rPr>
              <w:t>～</w:t>
            </w:r>
            <w:r>
              <w:rPr>
                <w:rFonts w:hint="eastAsia"/>
              </w:rPr>
              <w:t>120mm²（与线缆配套）</w:t>
            </w:r>
          </w:p>
        </w:tc>
        <w:tc>
          <w:tcPr>
            <w:tcW w:w="748" w:type="dxa"/>
            <w:vAlign w:val="top"/>
          </w:tcPr>
          <w:p>
            <w:pPr>
              <w:widowControl/>
              <w:spacing w:line="360" w:lineRule="auto"/>
              <w:jc w:val="center"/>
              <w:rPr>
                <w:rFonts w:hint="eastAsia"/>
              </w:rPr>
            </w:pPr>
            <w:r>
              <w:rPr>
                <w:rFonts w:hint="eastAsia"/>
              </w:rPr>
              <w:t>个</w:t>
            </w:r>
          </w:p>
        </w:tc>
        <w:tc>
          <w:tcPr>
            <w:tcW w:w="843" w:type="dxa"/>
            <w:vAlign w:val="top"/>
          </w:tcPr>
          <w:p>
            <w:pPr>
              <w:widowControl/>
              <w:spacing w:line="360" w:lineRule="auto"/>
              <w:jc w:val="center"/>
              <w:rPr>
                <w:rFonts w:hint="eastAsia"/>
              </w:rPr>
            </w:pPr>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1.1.3</w:t>
            </w:r>
          </w:p>
        </w:tc>
        <w:tc>
          <w:tcPr>
            <w:tcW w:w="2054" w:type="dxa"/>
            <w:vAlign w:val="top"/>
          </w:tcPr>
          <w:p>
            <w:pPr>
              <w:widowControl/>
              <w:spacing w:line="360" w:lineRule="auto"/>
              <w:jc w:val="left"/>
              <w:rPr>
                <w:rFonts w:hint="eastAsia"/>
              </w:rPr>
            </w:pPr>
            <w:r>
              <w:rPr>
                <w:rFonts w:hint="eastAsia"/>
              </w:rPr>
              <w:t>接线端子</w:t>
            </w:r>
          </w:p>
        </w:tc>
        <w:tc>
          <w:tcPr>
            <w:tcW w:w="3969" w:type="dxa"/>
            <w:vAlign w:val="top"/>
          </w:tcPr>
          <w:p>
            <w:pPr>
              <w:widowControl/>
              <w:spacing w:line="360" w:lineRule="auto"/>
              <w:jc w:val="left"/>
              <w:rPr>
                <w:rFonts w:hint="eastAsia"/>
              </w:rPr>
            </w:pPr>
            <w:r>
              <w:rPr>
                <w:rFonts w:hint="eastAsia"/>
              </w:rPr>
              <w:t>DL50</w:t>
            </w:r>
            <w:r>
              <w:rPr>
                <w:rFonts w:hint="eastAsia" w:ascii="宋体" w:hAnsi="宋体"/>
              </w:rPr>
              <w:t>～</w:t>
            </w:r>
            <w:r>
              <w:rPr>
                <w:rFonts w:hint="eastAsia"/>
              </w:rPr>
              <w:t>70mm²（与线缆配套）</w:t>
            </w:r>
          </w:p>
        </w:tc>
        <w:tc>
          <w:tcPr>
            <w:tcW w:w="748" w:type="dxa"/>
            <w:vAlign w:val="top"/>
          </w:tcPr>
          <w:p>
            <w:pPr>
              <w:widowControl/>
              <w:spacing w:line="360" w:lineRule="auto"/>
              <w:jc w:val="center"/>
              <w:rPr>
                <w:rFonts w:hint="eastAsia"/>
              </w:rPr>
            </w:pPr>
            <w:r>
              <w:rPr>
                <w:rFonts w:hint="eastAsia"/>
              </w:rPr>
              <w:t>个</w:t>
            </w:r>
          </w:p>
        </w:tc>
        <w:tc>
          <w:tcPr>
            <w:tcW w:w="843" w:type="dxa"/>
            <w:vAlign w:val="top"/>
          </w:tcPr>
          <w:p>
            <w:pPr>
              <w:widowControl/>
              <w:spacing w:line="360" w:lineRule="auto"/>
              <w:jc w:val="center"/>
              <w:rPr>
                <w:rFonts w:hint="eastAsia"/>
              </w:rP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1.1.4</w:t>
            </w:r>
          </w:p>
        </w:tc>
        <w:tc>
          <w:tcPr>
            <w:tcW w:w="2054" w:type="dxa"/>
            <w:vAlign w:val="top"/>
          </w:tcPr>
          <w:p>
            <w:pPr>
              <w:widowControl/>
              <w:spacing w:line="360" w:lineRule="auto"/>
              <w:jc w:val="left"/>
              <w:rPr>
                <w:rFonts w:hint="eastAsia"/>
              </w:rPr>
            </w:pPr>
            <w:r>
              <w:rPr>
                <w:rFonts w:hint="eastAsia"/>
              </w:rPr>
              <w:t>空气开关</w:t>
            </w:r>
          </w:p>
        </w:tc>
        <w:tc>
          <w:tcPr>
            <w:tcW w:w="3969" w:type="dxa"/>
            <w:vAlign w:val="top"/>
          </w:tcPr>
          <w:p>
            <w:pPr>
              <w:widowControl/>
              <w:spacing w:line="360" w:lineRule="auto"/>
              <w:jc w:val="left"/>
              <w:rPr>
                <w:rFonts w:hint="eastAsia"/>
              </w:rPr>
            </w:pPr>
            <w:r>
              <w:rPr>
                <w:rFonts w:hint="eastAsia"/>
              </w:rPr>
              <w:t>NXB-63</w:t>
            </w:r>
          </w:p>
        </w:tc>
        <w:tc>
          <w:tcPr>
            <w:tcW w:w="748" w:type="dxa"/>
            <w:vAlign w:val="top"/>
          </w:tcPr>
          <w:p>
            <w:pPr>
              <w:widowControl/>
              <w:spacing w:line="360" w:lineRule="auto"/>
              <w:jc w:val="center"/>
              <w:rPr>
                <w:rFonts w:hint="eastAsia"/>
              </w:rPr>
            </w:pPr>
            <w:r>
              <w:rPr>
                <w:rFonts w:hint="eastAsia"/>
              </w:rPr>
              <w:t>只</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1.1.5</w:t>
            </w:r>
          </w:p>
        </w:tc>
        <w:tc>
          <w:tcPr>
            <w:tcW w:w="2054" w:type="dxa"/>
            <w:vAlign w:val="top"/>
          </w:tcPr>
          <w:p>
            <w:pPr>
              <w:widowControl/>
              <w:spacing w:line="360" w:lineRule="auto"/>
              <w:jc w:val="left"/>
              <w:rPr>
                <w:rFonts w:hint="eastAsia"/>
              </w:rPr>
            </w:pPr>
            <w:r>
              <w:rPr>
                <w:rFonts w:hint="eastAsia"/>
              </w:rPr>
              <w:t>电流互感器</w:t>
            </w:r>
          </w:p>
        </w:tc>
        <w:tc>
          <w:tcPr>
            <w:tcW w:w="3969" w:type="dxa"/>
            <w:vAlign w:val="top"/>
          </w:tcPr>
          <w:p>
            <w:pPr>
              <w:widowControl/>
              <w:spacing w:line="360" w:lineRule="auto"/>
              <w:jc w:val="left"/>
              <w:rPr>
                <w:rFonts w:hint="eastAsia"/>
              </w:rPr>
            </w:pPr>
            <w:r>
              <w:rPr>
                <w:rFonts w:hint="eastAsia"/>
              </w:rPr>
              <w:t>LMZJ1-0.</w:t>
            </w:r>
            <w:r>
              <w:t>2</w:t>
            </w:r>
            <w:r>
              <w:rPr>
                <w:rFonts w:hint="eastAsia"/>
              </w:rPr>
              <w:t>，按安装地点选用变比</w:t>
            </w:r>
          </w:p>
        </w:tc>
        <w:tc>
          <w:tcPr>
            <w:tcW w:w="748" w:type="dxa"/>
            <w:vAlign w:val="top"/>
          </w:tcPr>
          <w:p>
            <w:pPr>
              <w:widowControl/>
              <w:spacing w:line="360" w:lineRule="auto"/>
              <w:jc w:val="center"/>
              <w:rPr>
                <w:rFonts w:hint="eastAsia"/>
              </w:rPr>
            </w:pPr>
            <w:r>
              <w:rPr>
                <w:rFonts w:hint="eastAsia"/>
              </w:rPr>
              <w:t>只</w:t>
            </w:r>
          </w:p>
        </w:tc>
        <w:tc>
          <w:tcPr>
            <w:tcW w:w="843" w:type="dxa"/>
            <w:vAlign w:val="top"/>
          </w:tcPr>
          <w:p>
            <w:pPr>
              <w:widowControl/>
              <w:spacing w:line="360" w:lineRule="auto"/>
              <w:jc w:val="center"/>
              <w:rPr>
                <w:rFonts w:hint="eastAsia"/>
              </w:rP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1.1.6</w:t>
            </w:r>
          </w:p>
        </w:tc>
        <w:tc>
          <w:tcPr>
            <w:tcW w:w="2054" w:type="dxa"/>
            <w:vAlign w:val="top"/>
          </w:tcPr>
          <w:p>
            <w:pPr>
              <w:widowControl/>
              <w:spacing w:line="360" w:lineRule="auto"/>
              <w:jc w:val="left"/>
              <w:rPr>
                <w:rFonts w:hint="eastAsia"/>
              </w:rPr>
            </w:pPr>
            <w:r>
              <w:rPr>
                <w:rFonts w:hint="eastAsia"/>
              </w:rPr>
              <w:t>接线盒</w:t>
            </w:r>
          </w:p>
        </w:tc>
        <w:tc>
          <w:tcPr>
            <w:tcW w:w="3969" w:type="dxa"/>
            <w:vAlign w:val="top"/>
          </w:tcPr>
          <w:p>
            <w:pPr>
              <w:widowControl/>
              <w:spacing w:line="360" w:lineRule="auto"/>
              <w:jc w:val="left"/>
              <w:rPr>
                <w:rFonts w:hint="eastAsia"/>
              </w:rPr>
            </w:pPr>
            <w:r>
              <w:rPr>
                <w:rFonts w:hint="eastAsia"/>
              </w:rPr>
              <w:t>HS6</w:t>
            </w:r>
          </w:p>
        </w:tc>
        <w:tc>
          <w:tcPr>
            <w:tcW w:w="748" w:type="dxa"/>
            <w:vAlign w:val="top"/>
          </w:tcPr>
          <w:p>
            <w:pPr>
              <w:widowControl/>
              <w:spacing w:line="360" w:lineRule="auto"/>
              <w:jc w:val="center"/>
              <w:rPr>
                <w:rFonts w:hint="eastAsia"/>
              </w:rPr>
            </w:pPr>
            <w:r>
              <w:rPr>
                <w:rFonts w:hint="eastAsia"/>
              </w:rPr>
              <w:t>个</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1.1.7</w:t>
            </w:r>
          </w:p>
        </w:tc>
        <w:tc>
          <w:tcPr>
            <w:tcW w:w="2054" w:type="dxa"/>
            <w:vAlign w:val="top"/>
          </w:tcPr>
          <w:p>
            <w:pPr>
              <w:widowControl/>
              <w:spacing w:line="360" w:lineRule="auto"/>
              <w:jc w:val="left"/>
              <w:rPr>
                <w:rFonts w:hint="eastAsia"/>
              </w:rPr>
            </w:pPr>
            <w:r>
              <w:rPr>
                <w:rFonts w:hint="eastAsia"/>
              </w:rPr>
              <w:t>电木衬板</w:t>
            </w:r>
          </w:p>
        </w:tc>
        <w:tc>
          <w:tcPr>
            <w:tcW w:w="3969" w:type="dxa"/>
            <w:vAlign w:val="top"/>
          </w:tcPr>
          <w:p>
            <w:pPr>
              <w:widowControl/>
              <w:spacing w:line="360" w:lineRule="auto"/>
              <w:jc w:val="left"/>
              <w:rPr>
                <w:rFonts w:hint="eastAsia"/>
              </w:rPr>
            </w:pPr>
            <w:r>
              <w:rPr>
                <w:rFonts w:hint="eastAsia"/>
              </w:rPr>
              <w:t>500×400mm</w:t>
            </w:r>
          </w:p>
        </w:tc>
        <w:tc>
          <w:tcPr>
            <w:tcW w:w="748" w:type="dxa"/>
            <w:vAlign w:val="top"/>
          </w:tcPr>
          <w:p>
            <w:pPr>
              <w:widowControl/>
              <w:spacing w:line="360" w:lineRule="auto"/>
              <w:jc w:val="center"/>
              <w:rPr>
                <w:rFonts w:hint="eastAsia"/>
              </w:rPr>
            </w:pPr>
            <w:r>
              <w:rPr>
                <w:rFonts w:hint="eastAsia"/>
              </w:rPr>
              <w:t>片</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1.1.8</w:t>
            </w:r>
          </w:p>
        </w:tc>
        <w:tc>
          <w:tcPr>
            <w:tcW w:w="2054" w:type="dxa"/>
            <w:vAlign w:val="top"/>
          </w:tcPr>
          <w:p>
            <w:pPr>
              <w:widowControl/>
              <w:spacing w:line="360" w:lineRule="auto"/>
              <w:jc w:val="left"/>
              <w:rPr>
                <w:rFonts w:hint="eastAsia"/>
              </w:rPr>
            </w:pPr>
            <w:r>
              <w:rPr>
                <w:rFonts w:hint="eastAsia"/>
              </w:rPr>
              <w:t>链接及上杆金具</w:t>
            </w:r>
          </w:p>
        </w:tc>
        <w:tc>
          <w:tcPr>
            <w:tcW w:w="3969" w:type="dxa"/>
            <w:vAlign w:val="top"/>
          </w:tcPr>
          <w:p>
            <w:pPr>
              <w:widowControl/>
              <w:spacing w:line="360" w:lineRule="auto"/>
              <w:jc w:val="left"/>
              <w:rPr>
                <w:rFonts w:hint="eastAsia"/>
              </w:rPr>
            </w:pPr>
            <w:r>
              <w:rPr>
                <w:rFonts w:hint="eastAsia"/>
              </w:rPr>
              <w:t>40×20mm方管、抱箍镀锌处理，必备标准件（螺杆、螺母若干）</w:t>
            </w:r>
          </w:p>
        </w:tc>
        <w:tc>
          <w:tcPr>
            <w:tcW w:w="748" w:type="dxa"/>
            <w:vAlign w:val="top"/>
          </w:tcPr>
          <w:p>
            <w:pPr>
              <w:widowControl/>
              <w:spacing w:line="360" w:lineRule="auto"/>
              <w:jc w:val="center"/>
              <w:rPr>
                <w:rFonts w:hint="eastAsia"/>
              </w:rPr>
            </w:pPr>
            <w:r>
              <w:rPr>
                <w:rFonts w:hint="eastAsia"/>
              </w:rPr>
              <w:t>套</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1.1.9</w:t>
            </w:r>
          </w:p>
        </w:tc>
        <w:tc>
          <w:tcPr>
            <w:tcW w:w="2054" w:type="dxa"/>
            <w:vAlign w:val="top"/>
          </w:tcPr>
          <w:p>
            <w:pPr>
              <w:widowControl/>
              <w:spacing w:line="360" w:lineRule="auto"/>
              <w:jc w:val="left"/>
              <w:rPr>
                <w:rFonts w:hint="eastAsia"/>
              </w:rPr>
            </w:pPr>
            <w:r>
              <w:rPr>
                <w:rFonts w:hint="eastAsia"/>
              </w:rPr>
              <w:t>导轨</w:t>
            </w:r>
          </w:p>
        </w:tc>
        <w:tc>
          <w:tcPr>
            <w:tcW w:w="3969" w:type="dxa"/>
            <w:vAlign w:val="top"/>
          </w:tcPr>
          <w:p>
            <w:pPr>
              <w:widowControl/>
              <w:spacing w:line="360" w:lineRule="auto"/>
              <w:jc w:val="left"/>
              <w:rPr>
                <w:rFonts w:hint="eastAsia"/>
              </w:rPr>
            </w:pPr>
            <w:r>
              <w:rPr>
                <w:rFonts w:hint="eastAsia"/>
              </w:rPr>
              <w:t>25×300mm</w:t>
            </w:r>
          </w:p>
        </w:tc>
        <w:tc>
          <w:tcPr>
            <w:tcW w:w="748" w:type="dxa"/>
            <w:vAlign w:val="top"/>
          </w:tcPr>
          <w:p>
            <w:pPr>
              <w:widowControl/>
              <w:spacing w:line="360" w:lineRule="auto"/>
              <w:jc w:val="center"/>
              <w:rPr>
                <w:rFonts w:hint="eastAsia"/>
              </w:rPr>
            </w:pPr>
            <w:r>
              <w:rPr>
                <w:rFonts w:hint="eastAsia"/>
              </w:rPr>
              <w:t>条</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1.1.10</w:t>
            </w:r>
          </w:p>
        </w:tc>
        <w:tc>
          <w:tcPr>
            <w:tcW w:w="2054" w:type="dxa"/>
            <w:vAlign w:val="top"/>
          </w:tcPr>
          <w:p>
            <w:pPr>
              <w:widowControl/>
              <w:spacing w:line="360" w:lineRule="auto"/>
              <w:jc w:val="left"/>
              <w:rPr>
                <w:rFonts w:hint="eastAsia"/>
              </w:rPr>
            </w:pPr>
            <w:r>
              <w:rPr>
                <w:rFonts w:hint="eastAsia"/>
              </w:rPr>
              <w:t>绝缘子</w:t>
            </w:r>
          </w:p>
        </w:tc>
        <w:tc>
          <w:tcPr>
            <w:tcW w:w="3969" w:type="dxa"/>
            <w:vAlign w:val="top"/>
          </w:tcPr>
          <w:p>
            <w:pPr>
              <w:widowControl/>
              <w:spacing w:line="360" w:lineRule="auto"/>
              <w:jc w:val="left"/>
              <w:rPr>
                <w:rFonts w:hint="eastAsia"/>
              </w:rPr>
            </w:pPr>
            <w:r>
              <w:rPr>
                <w:rFonts w:hint="eastAsia"/>
              </w:rPr>
              <w:t>Φ30</w:t>
            </w:r>
          </w:p>
        </w:tc>
        <w:tc>
          <w:tcPr>
            <w:tcW w:w="748" w:type="dxa"/>
            <w:vAlign w:val="top"/>
          </w:tcPr>
          <w:p>
            <w:pPr>
              <w:widowControl/>
              <w:spacing w:line="360" w:lineRule="auto"/>
              <w:jc w:val="center"/>
              <w:rPr>
                <w:rFonts w:hint="eastAsia"/>
              </w:rPr>
            </w:pPr>
            <w:r>
              <w:rPr>
                <w:rFonts w:hint="eastAsia"/>
              </w:rPr>
              <w:t>个</w:t>
            </w:r>
          </w:p>
        </w:tc>
        <w:tc>
          <w:tcPr>
            <w:tcW w:w="843" w:type="dxa"/>
            <w:vAlign w:val="top"/>
          </w:tcPr>
          <w:p>
            <w:pPr>
              <w:widowControl/>
              <w:spacing w:line="360" w:lineRule="auto"/>
              <w:jc w:val="center"/>
              <w:rPr>
                <w:rFonts w:hint="eastAsia"/>
              </w:rPr>
            </w:pPr>
            <w:r>
              <w:rPr>
                <w:rFonts w:hint="eastAsi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1.1.11</w:t>
            </w:r>
          </w:p>
        </w:tc>
        <w:tc>
          <w:tcPr>
            <w:tcW w:w="2054" w:type="dxa"/>
            <w:vAlign w:val="top"/>
          </w:tcPr>
          <w:p>
            <w:pPr>
              <w:widowControl/>
              <w:spacing w:line="360" w:lineRule="auto"/>
              <w:jc w:val="left"/>
              <w:rPr>
                <w:rFonts w:hint="eastAsia"/>
              </w:rPr>
            </w:pPr>
            <w:r>
              <w:rPr>
                <w:rFonts w:hint="eastAsia"/>
              </w:rPr>
              <w:t>BV线束</w:t>
            </w:r>
          </w:p>
        </w:tc>
        <w:tc>
          <w:tcPr>
            <w:tcW w:w="3969" w:type="dxa"/>
            <w:vAlign w:val="top"/>
          </w:tcPr>
          <w:p>
            <w:pPr>
              <w:widowControl/>
              <w:spacing w:line="360" w:lineRule="auto"/>
              <w:jc w:val="left"/>
              <w:rPr>
                <w:rFonts w:hint="eastAsia"/>
              </w:rPr>
            </w:pPr>
            <w:r>
              <w:rPr>
                <w:rFonts w:hint="eastAsia"/>
              </w:rPr>
              <w:t>2.5mm²，国标四色</w:t>
            </w:r>
          </w:p>
        </w:tc>
        <w:tc>
          <w:tcPr>
            <w:tcW w:w="748" w:type="dxa"/>
            <w:vAlign w:val="top"/>
          </w:tcPr>
          <w:p>
            <w:pPr>
              <w:widowControl/>
              <w:spacing w:line="360" w:lineRule="auto"/>
              <w:jc w:val="center"/>
              <w:rPr>
                <w:rFonts w:hint="eastAsia"/>
              </w:rPr>
            </w:pPr>
            <w:r>
              <w:rPr>
                <w:rFonts w:hint="eastAsia"/>
              </w:rPr>
              <w:t>m</w:t>
            </w:r>
          </w:p>
        </w:tc>
        <w:tc>
          <w:tcPr>
            <w:tcW w:w="843" w:type="dxa"/>
            <w:vAlign w:val="top"/>
          </w:tcPr>
          <w:p>
            <w:pPr>
              <w:widowControl/>
              <w:spacing w:line="360" w:lineRule="auto"/>
              <w:jc w:val="center"/>
              <w:rPr>
                <w:rFonts w:hint="eastAsia"/>
              </w:rPr>
            </w:pPr>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1.1.12</w:t>
            </w:r>
          </w:p>
        </w:tc>
        <w:tc>
          <w:tcPr>
            <w:tcW w:w="2054" w:type="dxa"/>
            <w:vAlign w:val="top"/>
          </w:tcPr>
          <w:p>
            <w:pPr>
              <w:widowControl/>
              <w:spacing w:line="360" w:lineRule="auto"/>
              <w:jc w:val="left"/>
              <w:rPr>
                <w:rFonts w:hint="eastAsia"/>
              </w:rPr>
            </w:pPr>
            <w:r>
              <w:rPr>
                <w:rFonts w:hint="eastAsia"/>
              </w:rPr>
              <w:t>双绞通讯线</w:t>
            </w:r>
          </w:p>
        </w:tc>
        <w:tc>
          <w:tcPr>
            <w:tcW w:w="3969" w:type="dxa"/>
            <w:vAlign w:val="top"/>
          </w:tcPr>
          <w:p>
            <w:pPr>
              <w:widowControl/>
              <w:spacing w:line="360" w:lineRule="auto"/>
              <w:jc w:val="left"/>
              <w:rPr>
                <w:rFonts w:hint="eastAsia"/>
              </w:rPr>
            </w:pPr>
            <w:r>
              <w:rPr>
                <w:rFonts w:hint="eastAsia"/>
              </w:rPr>
              <w:t>双芯带屏蔽层</w:t>
            </w:r>
          </w:p>
        </w:tc>
        <w:tc>
          <w:tcPr>
            <w:tcW w:w="748" w:type="dxa"/>
            <w:vAlign w:val="top"/>
          </w:tcPr>
          <w:p>
            <w:pPr>
              <w:widowControl/>
              <w:spacing w:line="360" w:lineRule="auto"/>
              <w:jc w:val="center"/>
              <w:rPr>
                <w:rFonts w:hint="eastAsia"/>
              </w:rPr>
            </w:pPr>
            <w:r>
              <w:rPr>
                <w:rFonts w:hint="eastAsia"/>
              </w:rPr>
              <w:t>m</w:t>
            </w:r>
          </w:p>
        </w:tc>
        <w:tc>
          <w:tcPr>
            <w:tcW w:w="843" w:type="dxa"/>
            <w:vAlign w:val="top"/>
          </w:tcPr>
          <w:p>
            <w:pPr>
              <w:widowControl/>
              <w:spacing w:line="360" w:lineRule="auto"/>
              <w:jc w:val="center"/>
              <w:rPr>
                <w:rFonts w:hint="eastAsia"/>
              </w:rPr>
            </w:pPr>
            <w:r>
              <w:rPr>
                <w:rFonts w:hint="eastAsia"/>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1.1.13</w:t>
            </w:r>
          </w:p>
        </w:tc>
        <w:tc>
          <w:tcPr>
            <w:tcW w:w="2054" w:type="dxa"/>
            <w:vAlign w:val="top"/>
          </w:tcPr>
          <w:p>
            <w:pPr>
              <w:widowControl/>
              <w:spacing w:line="360" w:lineRule="auto"/>
              <w:jc w:val="left"/>
              <w:rPr>
                <w:rFonts w:hint="eastAsia"/>
              </w:rPr>
            </w:pPr>
            <w:r>
              <w:rPr>
                <w:rFonts w:hint="eastAsia"/>
              </w:rPr>
              <w:t>铝排</w:t>
            </w:r>
          </w:p>
        </w:tc>
        <w:tc>
          <w:tcPr>
            <w:tcW w:w="3969" w:type="dxa"/>
            <w:vAlign w:val="top"/>
          </w:tcPr>
          <w:p>
            <w:pPr>
              <w:widowControl/>
              <w:spacing w:line="360" w:lineRule="auto"/>
              <w:jc w:val="left"/>
              <w:rPr>
                <w:rFonts w:hint="eastAsia"/>
              </w:rPr>
            </w:pPr>
            <w:r>
              <w:rPr>
                <w:rFonts w:hint="eastAsia"/>
              </w:rPr>
              <w:t>35×8mm</w:t>
            </w:r>
          </w:p>
        </w:tc>
        <w:tc>
          <w:tcPr>
            <w:tcW w:w="748" w:type="dxa"/>
            <w:vAlign w:val="top"/>
          </w:tcPr>
          <w:p>
            <w:pPr>
              <w:widowControl/>
              <w:spacing w:line="360" w:lineRule="auto"/>
              <w:jc w:val="center"/>
              <w:rPr>
                <w:rFonts w:hint="eastAsia"/>
              </w:rPr>
            </w:pPr>
            <w:r>
              <w:rPr>
                <w:rFonts w:hint="eastAsia"/>
              </w:rPr>
              <w:t>m</w:t>
            </w:r>
          </w:p>
        </w:tc>
        <w:tc>
          <w:tcPr>
            <w:tcW w:w="843" w:type="dxa"/>
            <w:vAlign w:val="top"/>
          </w:tcPr>
          <w:p>
            <w:pPr>
              <w:widowControl/>
              <w:spacing w:line="360" w:lineRule="auto"/>
              <w:jc w:val="center"/>
              <w:rPr>
                <w:rFonts w:hint="eastAsia"/>
              </w:rPr>
            </w:pPr>
            <w:r>
              <w:rPr>
                <w:rFonts w:hint="eastAsia"/>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1.1.14</w:t>
            </w:r>
          </w:p>
        </w:tc>
        <w:tc>
          <w:tcPr>
            <w:tcW w:w="2054" w:type="dxa"/>
            <w:vAlign w:val="top"/>
          </w:tcPr>
          <w:p>
            <w:pPr>
              <w:widowControl/>
              <w:spacing w:line="360" w:lineRule="auto"/>
              <w:jc w:val="left"/>
              <w:rPr>
                <w:rFonts w:hint="eastAsia"/>
              </w:rPr>
            </w:pPr>
            <w:r>
              <w:rPr>
                <w:rFonts w:hint="eastAsia"/>
              </w:rPr>
              <w:t>微动开关</w:t>
            </w:r>
          </w:p>
        </w:tc>
        <w:tc>
          <w:tcPr>
            <w:tcW w:w="3969" w:type="dxa"/>
            <w:vAlign w:val="top"/>
          </w:tcPr>
          <w:p>
            <w:pPr>
              <w:widowControl/>
              <w:spacing w:line="360" w:lineRule="auto"/>
              <w:jc w:val="left"/>
              <w:rPr>
                <w:rFonts w:hint="eastAsia"/>
              </w:rPr>
            </w:pPr>
            <w:r>
              <w:rPr>
                <w:rFonts w:hint="eastAsia"/>
              </w:rPr>
              <w:t>MN5132</w:t>
            </w:r>
          </w:p>
        </w:tc>
        <w:tc>
          <w:tcPr>
            <w:tcW w:w="748" w:type="dxa"/>
            <w:vAlign w:val="top"/>
          </w:tcPr>
          <w:p>
            <w:pPr>
              <w:widowControl/>
              <w:spacing w:line="360" w:lineRule="auto"/>
              <w:jc w:val="center"/>
              <w:rPr>
                <w:rFonts w:hint="eastAsia"/>
              </w:rPr>
            </w:pPr>
            <w:r>
              <w:rPr>
                <w:rFonts w:hint="eastAsia"/>
              </w:rPr>
              <w:t>只</w:t>
            </w:r>
          </w:p>
        </w:tc>
        <w:tc>
          <w:tcPr>
            <w:tcW w:w="843" w:type="dxa"/>
            <w:vAlign w:val="top"/>
          </w:tcPr>
          <w:p>
            <w:pPr>
              <w:widowControl/>
              <w:spacing w:line="360" w:lineRule="auto"/>
              <w:jc w:val="center"/>
              <w:rPr>
                <w:rFonts w:hint="eastAsia"/>
              </w:rP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1.1.15</w:t>
            </w:r>
          </w:p>
        </w:tc>
        <w:tc>
          <w:tcPr>
            <w:tcW w:w="2054" w:type="dxa"/>
            <w:vAlign w:val="top"/>
          </w:tcPr>
          <w:p>
            <w:pPr>
              <w:widowControl/>
              <w:spacing w:line="360" w:lineRule="auto"/>
              <w:jc w:val="left"/>
              <w:rPr>
                <w:rFonts w:hint="eastAsia"/>
              </w:rPr>
            </w:pPr>
            <w:r>
              <w:rPr>
                <w:rFonts w:hint="eastAsia"/>
              </w:rPr>
              <w:t>箱体间通讯密闭阀</w:t>
            </w:r>
          </w:p>
        </w:tc>
        <w:tc>
          <w:tcPr>
            <w:tcW w:w="3969" w:type="dxa"/>
            <w:vAlign w:val="top"/>
          </w:tcPr>
          <w:p>
            <w:pPr>
              <w:widowControl/>
              <w:spacing w:line="360" w:lineRule="auto"/>
              <w:jc w:val="left"/>
              <w:rPr>
                <w:rFonts w:hint="eastAsia"/>
              </w:rPr>
            </w:pPr>
            <w:r>
              <w:rPr>
                <w:rFonts w:hint="eastAsia"/>
              </w:rPr>
              <w:t>Φ30mm，塑料制品</w:t>
            </w:r>
          </w:p>
        </w:tc>
        <w:tc>
          <w:tcPr>
            <w:tcW w:w="748" w:type="dxa"/>
            <w:vAlign w:val="top"/>
          </w:tcPr>
          <w:p>
            <w:pPr>
              <w:widowControl/>
              <w:spacing w:line="360" w:lineRule="auto"/>
              <w:jc w:val="center"/>
              <w:rPr>
                <w:rFonts w:hint="eastAsia"/>
              </w:rPr>
            </w:pPr>
            <w:r>
              <w:rPr>
                <w:rFonts w:hint="eastAsia"/>
              </w:rPr>
              <w:t>套</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1.1.16</w:t>
            </w:r>
          </w:p>
        </w:tc>
        <w:tc>
          <w:tcPr>
            <w:tcW w:w="2054" w:type="dxa"/>
            <w:vAlign w:val="top"/>
          </w:tcPr>
          <w:p>
            <w:pPr>
              <w:widowControl/>
              <w:spacing w:line="360" w:lineRule="auto"/>
              <w:jc w:val="left"/>
              <w:rPr>
                <w:rFonts w:hint="eastAsia"/>
              </w:rPr>
            </w:pPr>
            <w:r>
              <w:rPr>
                <w:rFonts w:hint="eastAsia"/>
              </w:rPr>
              <w:t>电压互感器</w:t>
            </w:r>
          </w:p>
        </w:tc>
        <w:tc>
          <w:tcPr>
            <w:tcW w:w="3969" w:type="dxa"/>
            <w:vAlign w:val="top"/>
          </w:tcPr>
          <w:p>
            <w:pPr>
              <w:widowControl/>
              <w:spacing w:line="360" w:lineRule="auto"/>
              <w:jc w:val="left"/>
              <w:rPr>
                <w:rFonts w:hint="eastAsia"/>
              </w:rPr>
            </w:pPr>
            <w:r>
              <w:rPr>
                <w:rFonts w:hint="eastAsia"/>
              </w:rPr>
              <w:t>TV8451-380V/220V（6600V线路选配）</w:t>
            </w:r>
          </w:p>
        </w:tc>
        <w:tc>
          <w:tcPr>
            <w:tcW w:w="748" w:type="dxa"/>
            <w:vAlign w:val="top"/>
          </w:tcPr>
          <w:p>
            <w:pPr>
              <w:widowControl/>
              <w:spacing w:line="360" w:lineRule="auto"/>
              <w:jc w:val="center"/>
              <w:rPr>
                <w:rFonts w:hint="eastAsia"/>
              </w:rPr>
            </w:pPr>
            <w:r>
              <w:rPr>
                <w:rFonts w:hint="eastAsia"/>
              </w:rPr>
              <w:t>个</w:t>
            </w:r>
          </w:p>
        </w:tc>
        <w:tc>
          <w:tcPr>
            <w:tcW w:w="843" w:type="dxa"/>
            <w:vAlign w:val="top"/>
          </w:tcPr>
          <w:p>
            <w:pPr>
              <w:widowControl/>
              <w:spacing w:line="360" w:lineRule="auto"/>
              <w:jc w:val="center"/>
              <w:rPr>
                <w:rFonts w:hint="eastAsia"/>
              </w:rP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1.1.17</w:t>
            </w:r>
          </w:p>
        </w:tc>
        <w:tc>
          <w:tcPr>
            <w:tcW w:w="2054" w:type="dxa"/>
            <w:vAlign w:val="top"/>
          </w:tcPr>
          <w:p>
            <w:pPr>
              <w:widowControl/>
              <w:spacing w:line="360" w:lineRule="auto"/>
              <w:jc w:val="left"/>
              <w:rPr>
                <w:rFonts w:hint="eastAsia"/>
              </w:rPr>
            </w:pPr>
            <w:r>
              <w:rPr>
                <w:rFonts w:hint="eastAsia"/>
              </w:rPr>
              <w:t>变压器</w:t>
            </w:r>
          </w:p>
        </w:tc>
        <w:tc>
          <w:tcPr>
            <w:tcW w:w="3969" w:type="dxa"/>
            <w:vAlign w:val="top"/>
          </w:tcPr>
          <w:p>
            <w:pPr>
              <w:widowControl/>
              <w:spacing w:line="360" w:lineRule="auto"/>
              <w:jc w:val="left"/>
              <w:rPr>
                <w:rFonts w:hint="eastAsia"/>
              </w:rPr>
            </w:pPr>
            <w:r>
              <w:rPr>
                <w:rFonts w:hint="eastAsia"/>
              </w:rPr>
              <w:t>380V/220V（6600V线路选配）</w:t>
            </w:r>
          </w:p>
        </w:tc>
        <w:tc>
          <w:tcPr>
            <w:tcW w:w="748" w:type="dxa"/>
            <w:vAlign w:val="top"/>
          </w:tcPr>
          <w:p>
            <w:pPr>
              <w:widowControl/>
              <w:spacing w:line="360" w:lineRule="auto"/>
              <w:jc w:val="center"/>
              <w:rPr>
                <w:rFonts w:hint="eastAsia"/>
              </w:rPr>
            </w:pPr>
            <w:r>
              <w:rPr>
                <w:rFonts w:hint="eastAsia"/>
              </w:rPr>
              <w:t>个</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1.2</w:t>
            </w:r>
          </w:p>
        </w:tc>
        <w:tc>
          <w:tcPr>
            <w:tcW w:w="2054" w:type="dxa"/>
            <w:vAlign w:val="top"/>
          </w:tcPr>
          <w:p>
            <w:pPr>
              <w:widowControl/>
              <w:spacing w:line="360" w:lineRule="auto"/>
              <w:jc w:val="left"/>
              <w:rPr>
                <w:rFonts w:hint="eastAsia"/>
              </w:rPr>
            </w:pPr>
            <w:r>
              <w:rPr>
                <w:rFonts w:hint="eastAsia"/>
              </w:rPr>
              <w:t>智能采集传输模块</w:t>
            </w:r>
          </w:p>
        </w:tc>
        <w:tc>
          <w:tcPr>
            <w:tcW w:w="3969" w:type="dxa"/>
            <w:vAlign w:val="top"/>
          </w:tcPr>
          <w:p>
            <w:pPr>
              <w:widowControl/>
              <w:spacing w:line="360" w:lineRule="auto"/>
              <w:jc w:val="left"/>
              <w:rPr>
                <w:rFonts w:hint="eastAsia"/>
              </w:rPr>
            </w:pPr>
          </w:p>
        </w:tc>
        <w:tc>
          <w:tcPr>
            <w:tcW w:w="748" w:type="dxa"/>
            <w:vAlign w:val="top"/>
          </w:tcPr>
          <w:p>
            <w:pPr>
              <w:widowControl/>
              <w:spacing w:line="360" w:lineRule="auto"/>
              <w:jc w:val="center"/>
              <w:rPr>
                <w:rFonts w:hint="eastAsia"/>
              </w:rPr>
            </w:pPr>
            <w:r>
              <w:rPr>
                <w:rFonts w:hint="eastAsia"/>
              </w:rPr>
              <w:t>套</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1.2.1</w:t>
            </w:r>
          </w:p>
        </w:tc>
        <w:tc>
          <w:tcPr>
            <w:tcW w:w="2054" w:type="dxa"/>
            <w:vAlign w:val="top"/>
          </w:tcPr>
          <w:p>
            <w:pPr>
              <w:widowControl/>
              <w:spacing w:line="360" w:lineRule="auto"/>
              <w:jc w:val="left"/>
              <w:rPr>
                <w:rFonts w:hint="eastAsia"/>
              </w:rPr>
            </w:pPr>
            <w:r>
              <w:rPr>
                <w:rFonts w:hint="eastAsia"/>
              </w:rPr>
              <w:t>外壳体</w:t>
            </w:r>
          </w:p>
        </w:tc>
        <w:tc>
          <w:tcPr>
            <w:tcW w:w="3969" w:type="dxa"/>
            <w:vAlign w:val="top"/>
          </w:tcPr>
          <w:p>
            <w:pPr>
              <w:widowControl/>
              <w:spacing w:line="360" w:lineRule="auto"/>
              <w:jc w:val="left"/>
              <w:rPr>
                <w:rFonts w:hint="eastAsia"/>
              </w:rPr>
            </w:pPr>
            <w:r>
              <w:rPr>
                <w:rFonts w:hint="eastAsia"/>
              </w:rPr>
              <w:t>铝合金外涂防腐漆</w:t>
            </w:r>
          </w:p>
        </w:tc>
        <w:tc>
          <w:tcPr>
            <w:tcW w:w="748" w:type="dxa"/>
            <w:vAlign w:val="top"/>
          </w:tcPr>
          <w:p>
            <w:pPr>
              <w:widowControl/>
              <w:spacing w:line="360" w:lineRule="auto"/>
              <w:jc w:val="center"/>
              <w:rPr>
                <w:rFonts w:hint="eastAsia"/>
              </w:rPr>
            </w:pPr>
            <w:r>
              <w:rPr>
                <w:rFonts w:hint="eastAsia"/>
              </w:rPr>
              <w:t>套</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1.2.2</w:t>
            </w:r>
          </w:p>
        </w:tc>
        <w:tc>
          <w:tcPr>
            <w:tcW w:w="2054" w:type="dxa"/>
            <w:vAlign w:val="top"/>
          </w:tcPr>
          <w:p>
            <w:pPr>
              <w:widowControl/>
              <w:spacing w:line="360" w:lineRule="auto"/>
              <w:jc w:val="left"/>
              <w:rPr>
                <w:rFonts w:hint="eastAsia"/>
              </w:rPr>
            </w:pPr>
            <w:r>
              <w:rPr>
                <w:rFonts w:hint="eastAsia"/>
              </w:rPr>
              <w:t>PLC主板</w:t>
            </w:r>
          </w:p>
        </w:tc>
        <w:tc>
          <w:tcPr>
            <w:tcW w:w="3969" w:type="dxa"/>
            <w:vAlign w:val="top"/>
          </w:tcPr>
          <w:p>
            <w:pPr>
              <w:widowControl/>
              <w:spacing w:line="360" w:lineRule="auto"/>
              <w:jc w:val="left"/>
              <w:rPr>
                <w:rFonts w:hint="eastAsia"/>
              </w:rPr>
            </w:pPr>
            <w:r>
              <w:rPr>
                <w:rFonts w:hint="eastAsia"/>
              </w:rPr>
              <w:t>按采集传输相关标准开发</w:t>
            </w:r>
          </w:p>
        </w:tc>
        <w:tc>
          <w:tcPr>
            <w:tcW w:w="748" w:type="dxa"/>
            <w:vAlign w:val="top"/>
          </w:tcPr>
          <w:p>
            <w:pPr>
              <w:widowControl/>
              <w:spacing w:line="360" w:lineRule="auto"/>
              <w:jc w:val="center"/>
              <w:rPr>
                <w:rFonts w:hint="eastAsia"/>
              </w:rPr>
            </w:pPr>
            <w:r>
              <w:rPr>
                <w:rFonts w:hint="eastAsia"/>
              </w:rPr>
              <w:t>片</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1.2.3</w:t>
            </w:r>
          </w:p>
        </w:tc>
        <w:tc>
          <w:tcPr>
            <w:tcW w:w="2054" w:type="dxa"/>
            <w:vAlign w:val="top"/>
          </w:tcPr>
          <w:p>
            <w:pPr>
              <w:widowControl/>
              <w:spacing w:line="360" w:lineRule="auto"/>
              <w:jc w:val="left"/>
              <w:rPr>
                <w:rFonts w:hint="eastAsia"/>
              </w:rPr>
            </w:pPr>
            <w:r>
              <w:rPr>
                <w:rFonts w:hint="eastAsia"/>
              </w:rPr>
              <w:t>GPRS模块单元</w:t>
            </w:r>
          </w:p>
        </w:tc>
        <w:tc>
          <w:tcPr>
            <w:tcW w:w="3969" w:type="dxa"/>
            <w:vAlign w:val="top"/>
          </w:tcPr>
          <w:p>
            <w:pPr>
              <w:widowControl/>
              <w:spacing w:line="360" w:lineRule="auto"/>
              <w:jc w:val="left"/>
              <w:rPr>
                <w:rFonts w:hint="eastAsia"/>
              </w:rPr>
            </w:pPr>
            <w:r>
              <w:rPr>
                <w:rFonts w:hint="eastAsia"/>
              </w:rPr>
              <w:t>SIM900</w:t>
            </w:r>
          </w:p>
        </w:tc>
        <w:tc>
          <w:tcPr>
            <w:tcW w:w="748" w:type="dxa"/>
            <w:vAlign w:val="top"/>
          </w:tcPr>
          <w:p>
            <w:pPr>
              <w:widowControl/>
              <w:spacing w:line="360" w:lineRule="auto"/>
              <w:jc w:val="center"/>
              <w:rPr>
                <w:rFonts w:hint="eastAsia"/>
              </w:rPr>
            </w:pPr>
            <w:r>
              <w:rPr>
                <w:rFonts w:hint="eastAsia"/>
              </w:rPr>
              <w:t>套</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1.2.4</w:t>
            </w:r>
          </w:p>
        </w:tc>
        <w:tc>
          <w:tcPr>
            <w:tcW w:w="2054" w:type="dxa"/>
            <w:vAlign w:val="top"/>
          </w:tcPr>
          <w:p>
            <w:pPr>
              <w:widowControl/>
              <w:spacing w:line="360" w:lineRule="auto"/>
              <w:jc w:val="left"/>
              <w:rPr>
                <w:rFonts w:hint="eastAsia"/>
              </w:rPr>
            </w:pPr>
            <w:r>
              <w:rPr>
                <w:rFonts w:hint="eastAsia"/>
              </w:rPr>
              <w:t>模块直流电源</w:t>
            </w:r>
          </w:p>
        </w:tc>
        <w:tc>
          <w:tcPr>
            <w:tcW w:w="3969" w:type="dxa"/>
            <w:vAlign w:val="top"/>
          </w:tcPr>
          <w:p>
            <w:pPr>
              <w:widowControl/>
              <w:spacing w:line="360" w:lineRule="auto"/>
              <w:jc w:val="left"/>
              <w:rPr>
                <w:rFonts w:hint="eastAsia"/>
              </w:rPr>
            </w:pPr>
            <w:r>
              <w:rPr>
                <w:rFonts w:hint="eastAsia"/>
              </w:rPr>
              <w:t>4NIC-H</w:t>
            </w:r>
          </w:p>
        </w:tc>
        <w:tc>
          <w:tcPr>
            <w:tcW w:w="748" w:type="dxa"/>
            <w:vAlign w:val="top"/>
          </w:tcPr>
          <w:p>
            <w:pPr>
              <w:widowControl/>
              <w:spacing w:line="360" w:lineRule="auto"/>
              <w:jc w:val="center"/>
              <w:rPr>
                <w:rFonts w:hint="eastAsia"/>
              </w:rPr>
            </w:pPr>
            <w:r>
              <w:rPr>
                <w:rFonts w:hint="eastAsia"/>
              </w:rPr>
              <w:t>个</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1.2.5</w:t>
            </w:r>
          </w:p>
        </w:tc>
        <w:tc>
          <w:tcPr>
            <w:tcW w:w="2054" w:type="dxa"/>
            <w:vAlign w:val="top"/>
          </w:tcPr>
          <w:p>
            <w:pPr>
              <w:widowControl/>
              <w:spacing w:line="360" w:lineRule="auto"/>
              <w:jc w:val="left"/>
              <w:rPr>
                <w:rFonts w:hint="eastAsia"/>
              </w:rPr>
            </w:pPr>
            <w:r>
              <w:rPr>
                <w:rFonts w:hint="eastAsia"/>
              </w:rPr>
              <w:t>主板温控单元</w:t>
            </w:r>
          </w:p>
        </w:tc>
        <w:tc>
          <w:tcPr>
            <w:tcW w:w="3969" w:type="dxa"/>
            <w:vAlign w:val="top"/>
          </w:tcPr>
          <w:p>
            <w:pPr>
              <w:widowControl/>
              <w:spacing w:line="360" w:lineRule="auto"/>
              <w:jc w:val="left"/>
              <w:rPr>
                <w:rFonts w:hint="eastAsia"/>
              </w:rPr>
            </w:pPr>
            <w:r>
              <w:rPr>
                <w:rFonts w:hint="eastAsia"/>
              </w:rPr>
              <w:t>-5℃加热</w:t>
            </w:r>
          </w:p>
        </w:tc>
        <w:tc>
          <w:tcPr>
            <w:tcW w:w="748" w:type="dxa"/>
            <w:vAlign w:val="top"/>
          </w:tcPr>
          <w:p>
            <w:pPr>
              <w:widowControl/>
              <w:spacing w:line="360" w:lineRule="auto"/>
              <w:jc w:val="center"/>
              <w:rPr>
                <w:rFonts w:hint="eastAsia"/>
              </w:rPr>
            </w:pPr>
            <w:r>
              <w:rPr>
                <w:rFonts w:hint="eastAsia"/>
              </w:rPr>
              <w:t>套</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1.2.6</w:t>
            </w:r>
          </w:p>
        </w:tc>
        <w:tc>
          <w:tcPr>
            <w:tcW w:w="2054" w:type="dxa"/>
            <w:vAlign w:val="top"/>
          </w:tcPr>
          <w:p>
            <w:pPr>
              <w:widowControl/>
              <w:spacing w:line="360" w:lineRule="auto"/>
              <w:jc w:val="left"/>
              <w:rPr>
                <w:rFonts w:hint="eastAsia"/>
              </w:rPr>
            </w:pPr>
            <w:r>
              <w:rPr>
                <w:rFonts w:hint="eastAsia"/>
              </w:rPr>
              <w:t>断电通信电容</w:t>
            </w:r>
          </w:p>
        </w:tc>
        <w:tc>
          <w:tcPr>
            <w:tcW w:w="3969" w:type="dxa"/>
            <w:vAlign w:val="top"/>
          </w:tcPr>
          <w:p>
            <w:pPr>
              <w:widowControl/>
              <w:spacing w:line="360" w:lineRule="auto"/>
              <w:jc w:val="left"/>
              <w:rPr>
                <w:rFonts w:hint="eastAsia"/>
              </w:rPr>
            </w:pPr>
            <w:r>
              <w:rPr>
                <w:rFonts w:hint="eastAsia"/>
              </w:rPr>
              <w:t>25F2.7V</w:t>
            </w:r>
          </w:p>
        </w:tc>
        <w:tc>
          <w:tcPr>
            <w:tcW w:w="748" w:type="dxa"/>
            <w:vAlign w:val="top"/>
          </w:tcPr>
          <w:p>
            <w:pPr>
              <w:widowControl/>
              <w:spacing w:line="360" w:lineRule="auto"/>
              <w:jc w:val="center"/>
              <w:rPr>
                <w:rFonts w:hint="eastAsia"/>
              </w:rPr>
            </w:pPr>
            <w:r>
              <w:rPr>
                <w:rFonts w:hint="eastAsia"/>
              </w:rPr>
              <w:t>只</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1.2.7</w:t>
            </w:r>
          </w:p>
        </w:tc>
        <w:tc>
          <w:tcPr>
            <w:tcW w:w="2054" w:type="dxa"/>
            <w:vAlign w:val="top"/>
          </w:tcPr>
          <w:p>
            <w:pPr>
              <w:widowControl/>
              <w:spacing w:line="360" w:lineRule="auto"/>
              <w:jc w:val="left"/>
              <w:rPr>
                <w:rFonts w:hint="eastAsia"/>
                <w:sz w:val="18"/>
                <w:szCs w:val="18"/>
              </w:rPr>
            </w:pPr>
            <w:r>
              <w:rPr>
                <w:rFonts w:hint="eastAsia"/>
                <w:sz w:val="18"/>
                <w:szCs w:val="18"/>
              </w:rPr>
              <w:t>短信/语音处理单元</w:t>
            </w:r>
          </w:p>
        </w:tc>
        <w:tc>
          <w:tcPr>
            <w:tcW w:w="3969" w:type="dxa"/>
            <w:vAlign w:val="top"/>
          </w:tcPr>
          <w:p>
            <w:pPr>
              <w:widowControl/>
              <w:spacing w:line="360" w:lineRule="auto"/>
              <w:jc w:val="left"/>
              <w:rPr>
                <w:rFonts w:hint="eastAsia"/>
              </w:rPr>
            </w:pPr>
            <w:r>
              <w:rPr>
                <w:rFonts w:hint="eastAsia"/>
              </w:rPr>
              <w:t>程序升级、在/掉线测试</w:t>
            </w:r>
          </w:p>
        </w:tc>
        <w:tc>
          <w:tcPr>
            <w:tcW w:w="748" w:type="dxa"/>
            <w:vAlign w:val="top"/>
          </w:tcPr>
          <w:p>
            <w:pPr>
              <w:widowControl/>
              <w:spacing w:line="360" w:lineRule="auto"/>
              <w:jc w:val="center"/>
              <w:rPr>
                <w:rFonts w:hint="eastAsia"/>
              </w:rPr>
            </w:pPr>
            <w:r>
              <w:rPr>
                <w:rFonts w:hint="eastAsia"/>
              </w:rPr>
              <w:t>套</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1.3</w:t>
            </w:r>
          </w:p>
        </w:tc>
        <w:tc>
          <w:tcPr>
            <w:tcW w:w="2054" w:type="dxa"/>
            <w:vAlign w:val="top"/>
          </w:tcPr>
          <w:p>
            <w:pPr>
              <w:widowControl/>
              <w:spacing w:line="360" w:lineRule="auto"/>
              <w:jc w:val="left"/>
              <w:rPr>
                <w:rFonts w:hint="eastAsia"/>
              </w:rPr>
            </w:pPr>
            <w:r>
              <w:rPr>
                <w:rFonts w:hint="eastAsia"/>
              </w:rPr>
              <w:t>三相四线电子式</w:t>
            </w:r>
          </w:p>
          <w:p>
            <w:pPr>
              <w:widowControl/>
              <w:spacing w:line="360" w:lineRule="auto"/>
              <w:jc w:val="left"/>
              <w:rPr>
                <w:rFonts w:hint="eastAsia"/>
              </w:rPr>
            </w:pPr>
            <w:r>
              <w:rPr>
                <w:rFonts w:hint="eastAsia"/>
              </w:rPr>
              <w:t>多功能电能表</w:t>
            </w:r>
          </w:p>
        </w:tc>
        <w:tc>
          <w:tcPr>
            <w:tcW w:w="3969" w:type="dxa"/>
            <w:vAlign w:val="top"/>
          </w:tcPr>
          <w:p>
            <w:pPr>
              <w:widowControl/>
              <w:spacing w:line="360" w:lineRule="auto"/>
              <w:jc w:val="left"/>
              <w:rPr>
                <w:rFonts w:hint="eastAsia"/>
              </w:rPr>
            </w:pPr>
            <w:r>
              <w:rPr>
                <w:rFonts w:hint="eastAsia"/>
              </w:rPr>
              <w:t>DT系列0</w:t>
            </w:r>
            <w:r>
              <w:t>.5S</w:t>
            </w:r>
            <w:r>
              <w:rPr>
                <w:rFonts w:hint="eastAsia"/>
              </w:rPr>
              <w:t xml:space="preserve"> </w:t>
            </w:r>
          </w:p>
        </w:tc>
        <w:tc>
          <w:tcPr>
            <w:tcW w:w="748" w:type="dxa"/>
            <w:vAlign w:val="top"/>
          </w:tcPr>
          <w:p>
            <w:pPr>
              <w:widowControl/>
              <w:spacing w:line="360" w:lineRule="auto"/>
              <w:jc w:val="center"/>
              <w:rPr>
                <w:rFonts w:hint="eastAsia"/>
              </w:rPr>
            </w:pPr>
            <w:r>
              <w:rPr>
                <w:rFonts w:hint="eastAsia"/>
              </w:rPr>
              <w:t>PCS</w:t>
            </w:r>
          </w:p>
        </w:tc>
        <w:tc>
          <w:tcPr>
            <w:tcW w:w="843" w:type="dxa"/>
            <w:vAlign w:val="top"/>
          </w:tcPr>
          <w:p>
            <w:pPr>
              <w:widowControl/>
              <w:spacing w:line="360" w:lineRule="auto"/>
              <w:jc w:val="center"/>
              <w:rPr>
                <w:rFonts w:hint="eastAsia"/>
              </w:rP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2</w:t>
            </w:r>
          </w:p>
        </w:tc>
        <w:tc>
          <w:tcPr>
            <w:tcW w:w="2054" w:type="dxa"/>
            <w:vAlign w:val="top"/>
          </w:tcPr>
          <w:p>
            <w:pPr>
              <w:widowControl/>
              <w:spacing w:line="360" w:lineRule="auto"/>
              <w:jc w:val="left"/>
              <w:rPr>
                <w:rFonts w:hint="eastAsia"/>
              </w:rPr>
            </w:pPr>
            <w:r>
              <w:rPr>
                <w:rFonts w:hint="eastAsia"/>
              </w:rPr>
              <w:t>现场安装所需辅材</w:t>
            </w:r>
          </w:p>
        </w:tc>
        <w:tc>
          <w:tcPr>
            <w:tcW w:w="5560" w:type="dxa"/>
            <w:gridSpan w:val="3"/>
            <w:vAlign w:val="top"/>
          </w:tcPr>
          <w:p>
            <w:pPr>
              <w:widowControl/>
              <w:spacing w:line="360" w:lineRule="auto"/>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2.1</w:t>
            </w:r>
          </w:p>
        </w:tc>
        <w:tc>
          <w:tcPr>
            <w:tcW w:w="2054" w:type="dxa"/>
            <w:vAlign w:val="top"/>
          </w:tcPr>
          <w:p>
            <w:pPr>
              <w:widowControl/>
              <w:spacing w:line="360" w:lineRule="auto"/>
              <w:jc w:val="left"/>
              <w:rPr>
                <w:rFonts w:hint="eastAsia"/>
              </w:rPr>
            </w:pPr>
            <w:r>
              <w:rPr>
                <w:rFonts w:hint="eastAsia"/>
              </w:rPr>
              <w:t>防老化线缆</w:t>
            </w:r>
          </w:p>
        </w:tc>
        <w:tc>
          <w:tcPr>
            <w:tcW w:w="3969" w:type="dxa"/>
            <w:vAlign w:val="top"/>
          </w:tcPr>
          <w:p>
            <w:pPr>
              <w:widowControl/>
              <w:spacing w:line="360" w:lineRule="auto"/>
              <w:jc w:val="left"/>
              <w:rPr>
                <w:rFonts w:hint="eastAsia"/>
              </w:rPr>
            </w:pPr>
            <w:r>
              <w:rPr>
                <w:rFonts w:hint="eastAsia"/>
              </w:rPr>
              <w:t>JKLY95</w:t>
            </w:r>
            <w:r>
              <w:rPr>
                <w:rFonts w:hint="eastAsia" w:ascii="宋体" w:hAnsi="宋体"/>
              </w:rPr>
              <w:t>～</w:t>
            </w:r>
            <w:r>
              <w:rPr>
                <w:rFonts w:hint="eastAsia"/>
              </w:rPr>
              <w:t>120mm²（据安装地点实际情况选用）</w:t>
            </w:r>
          </w:p>
        </w:tc>
        <w:tc>
          <w:tcPr>
            <w:tcW w:w="748" w:type="dxa"/>
            <w:vAlign w:val="top"/>
          </w:tcPr>
          <w:p>
            <w:pPr>
              <w:widowControl/>
              <w:spacing w:line="360" w:lineRule="auto"/>
              <w:jc w:val="center"/>
              <w:rPr>
                <w:rFonts w:hint="eastAsia"/>
              </w:rPr>
            </w:pPr>
            <w:r>
              <w:rPr>
                <w:rFonts w:hint="eastAsia"/>
              </w:rPr>
              <w:t>m</w:t>
            </w:r>
          </w:p>
        </w:tc>
        <w:tc>
          <w:tcPr>
            <w:tcW w:w="843" w:type="dxa"/>
            <w:vAlign w:val="top"/>
          </w:tcPr>
          <w:p>
            <w:pPr>
              <w:widowControl/>
              <w:spacing w:line="360" w:lineRule="auto"/>
              <w:jc w:val="center"/>
              <w:rPr>
                <w:rFonts w:hint="eastAsia"/>
              </w:rPr>
            </w:pPr>
            <w:r>
              <w:rPr>
                <w:rFonts w:hint="eastAsia"/>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2.2</w:t>
            </w:r>
          </w:p>
        </w:tc>
        <w:tc>
          <w:tcPr>
            <w:tcW w:w="2054" w:type="dxa"/>
            <w:vAlign w:val="top"/>
          </w:tcPr>
          <w:p>
            <w:pPr>
              <w:widowControl/>
              <w:spacing w:line="360" w:lineRule="auto"/>
              <w:jc w:val="left"/>
              <w:rPr>
                <w:rFonts w:hint="eastAsia"/>
              </w:rPr>
            </w:pPr>
            <w:r>
              <w:rPr>
                <w:rFonts w:hint="eastAsia"/>
              </w:rPr>
              <w:t>防老化线缆</w:t>
            </w:r>
          </w:p>
        </w:tc>
        <w:tc>
          <w:tcPr>
            <w:tcW w:w="3969" w:type="dxa"/>
            <w:vAlign w:val="top"/>
          </w:tcPr>
          <w:p>
            <w:pPr>
              <w:widowControl/>
              <w:spacing w:line="360" w:lineRule="auto"/>
              <w:jc w:val="left"/>
              <w:rPr>
                <w:rFonts w:hint="eastAsia"/>
              </w:rPr>
            </w:pPr>
            <w:r>
              <w:rPr>
                <w:rFonts w:hint="eastAsia"/>
              </w:rPr>
              <w:t>JKLY50</w:t>
            </w:r>
            <w:r>
              <w:rPr>
                <w:rFonts w:hint="eastAsia" w:ascii="宋体" w:hAnsi="宋体"/>
              </w:rPr>
              <w:t>～</w:t>
            </w:r>
            <w:r>
              <w:rPr>
                <w:rFonts w:hint="eastAsia"/>
              </w:rPr>
              <w:t>70mm²（据安装地点实际情况选用）</w:t>
            </w:r>
          </w:p>
        </w:tc>
        <w:tc>
          <w:tcPr>
            <w:tcW w:w="748" w:type="dxa"/>
            <w:vAlign w:val="top"/>
          </w:tcPr>
          <w:p>
            <w:pPr>
              <w:widowControl/>
              <w:spacing w:line="360" w:lineRule="auto"/>
              <w:jc w:val="center"/>
              <w:rPr>
                <w:rFonts w:hint="eastAsia"/>
              </w:rPr>
            </w:pPr>
            <w:r>
              <w:rPr>
                <w:rFonts w:hint="eastAsia"/>
              </w:rPr>
              <w:t>m</w:t>
            </w:r>
          </w:p>
        </w:tc>
        <w:tc>
          <w:tcPr>
            <w:tcW w:w="843" w:type="dxa"/>
            <w:vAlign w:val="top"/>
          </w:tcPr>
          <w:p>
            <w:pPr>
              <w:widowControl/>
              <w:spacing w:line="360" w:lineRule="auto"/>
              <w:jc w:val="center"/>
              <w:rPr>
                <w:rFonts w:hint="eastAsia"/>
              </w:rPr>
            </w:pPr>
            <w:r>
              <w:rPr>
                <w:rFonts w:hint="eastAsi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2.3</w:t>
            </w:r>
          </w:p>
        </w:tc>
        <w:tc>
          <w:tcPr>
            <w:tcW w:w="2054" w:type="dxa"/>
            <w:vAlign w:val="top"/>
          </w:tcPr>
          <w:p>
            <w:pPr>
              <w:widowControl/>
              <w:spacing w:line="360" w:lineRule="auto"/>
              <w:jc w:val="left"/>
              <w:rPr>
                <w:rFonts w:hint="eastAsia"/>
              </w:rPr>
            </w:pPr>
            <w:r>
              <w:rPr>
                <w:rFonts w:hint="eastAsia"/>
              </w:rPr>
              <w:t>设备线夹</w:t>
            </w:r>
          </w:p>
        </w:tc>
        <w:tc>
          <w:tcPr>
            <w:tcW w:w="3969" w:type="dxa"/>
            <w:vAlign w:val="top"/>
          </w:tcPr>
          <w:p>
            <w:pPr>
              <w:widowControl/>
              <w:spacing w:line="360" w:lineRule="auto"/>
              <w:jc w:val="left"/>
              <w:rPr>
                <w:rFonts w:hint="eastAsia"/>
              </w:rPr>
            </w:pPr>
            <w:r>
              <w:rPr>
                <w:rFonts w:hint="eastAsia"/>
              </w:rPr>
              <w:t>铜铝夹JTL1000A</w:t>
            </w:r>
          </w:p>
        </w:tc>
        <w:tc>
          <w:tcPr>
            <w:tcW w:w="748" w:type="dxa"/>
            <w:vAlign w:val="top"/>
          </w:tcPr>
          <w:p>
            <w:pPr>
              <w:widowControl/>
              <w:spacing w:line="360" w:lineRule="auto"/>
              <w:jc w:val="center"/>
              <w:rPr>
                <w:rFonts w:hint="eastAsia"/>
              </w:rPr>
            </w:pPr>
            <w:r>
              <w:rPr>
                <w:rFonts w:hint="eastAsia"/>
              </w:rPr>
              <w:t>只</w:t>
            </w:r>
          </w:p>
        </w:tc>
        <w:tc>
          <w:tcPr>
            <w:tcW w:w="843" w:type="dxa"/>
            <w:vAlign w:val="top"/>
          </w:tcPr>
          <w:p>
            <w:pPr>
              <w:widowControl/>
              <w:spacing w:line="360" w:lineRule="auto"/>
              <w:jc w:val="center"/>
              <w:rPr>
                <w:rFonts w:hint="eastAsia"/>
              </w:rPr>
            </w:pPr>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2.4</w:t>
            </w:r>
          </w:p>
        </w:tc>
        <w:tc>
          <w:tcPr>
            <w:tcW w:w="2054" w:type="dxa"/>
            <w:vAlign w:val="top"/>
          </w:tcPr>
          <w:p>
            <w:pPr>
              <w:widowControl/>
              <w:spacing w:line="360" w:lineRule="auto"/>
              <w:jc w:val="left"/>
              <w:rPr>
                <w:rFonts w:hint="eastAsia"/>
              </w:rPr>
            </w:pPr>
            <w:r>
              <w:rPr>
                <w:rFonts w:hint="eastAsia"/>
              </w:rPr>
              <w:t>接线端子</w:t>
            </w:r>
          </w:p>
        </w:tc>
        <w:tc>
          <w:tcPr>
            <w:tcW w:w="3969" w:type="dxa"/>
            <w:vAlign w:val="top"/>
          </w:tcPr>
          <w:p>
            <w:pPr>
              <w:widowControl/>
              <w:spacing w:line="360" w:lineRule="auto"/>
              <w:jc w:val="left"/>
              <w:rPr>
                <w:rFonts w:hint="eastAsia"/>
              </w:rPr>
            </w:pPr>
            <w:r>
              <w:rPr>
                <w:rFonts w:hint="eastAsia"/>
              </w:rPr>
              <w:t>铜铝鼻子DTL95</w:t>
            </w:r>
            <w:r>
              <w:rPr>
                <w:rFonts w:hint="eastAsia" w:ascii="宋体" w:hAnsi="宋体"/>
              </w:rPr>
              <w:t>～</w:t>
            </w:r>
            <w:r>
              <w:rPr>
                <w:rFonts w:hint="eastAsia"/>
              </w:rPr>
              <w:t>120mm²（与线缆配套）</w:t>
            </w:r>
          </w:p>
        </w:tc>
        <w:tc>
          <w:tcPr>
            <w:tcW w:w="748" w:type="dxa"/>
            <w:vAlign w:val="top"/>
          </w:tcPr>
          <w:p>
            <w:pPr>
              <w:widowControl/>
              <w:spacing w:line="360" w:lineRule="auto"/>
              <w:jc w:val="center"/>
              <w:rPr>
                <w:rFonts w:hint="eastAsia"/>
              </w:rPr>
            </w:pPr>
            <w:r>
              <w:rPr>
                <w:rFonts w:hint="eastAsia"/>
              </w:rPr>
              <w:t>个</w:t>
            </w:r>
          </w:p>
        </w:tc>
        <w:tc>
          <w:tcPr>
            <w:tcW w:w="843" w:type="dxa"/>
            <w:vAlign w:val="top"/>
          </w:tcPr>
          <w:p>
            <w:pPr>
              <w:widowControl/>
              <w:spacing w:line="360" w:lineRule="auto"/>
              <w:jc w:val="center"/>
              <w:rPr>
                <w:rFonts w:hint="eastAsia"/>
              </w:rP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8" w:type="dxa"/>
            <w:vAlign w:val="top"/>
          </w:tcPr>
          <w:p>
            <w:pPr>
              <w:widowControl/>
              <w:spacing w:line="360" w:lineRule="auto"/>
              <w:jc w:val="left"/>
              <w:rPr>
                <w:rFonts w:hint="eastAsia"/>
              </w:rPr>
            </w:pPr>
            <w:r>
              <w:rPr>
                <w:rFonts w:hint="eastAsia"/>
              </w:rPr>
              <w:t>2.5</w:t>
            </w:r>
          </w:p>
        </w:tc>
        <w:tc>
          <w:tcPr>
            <w:tcW w:w="2054" w:type="dxa"/>
            <w:vAlign w:val="top"/>
          </w:tcPr>
          <w:p>
            <w:pPr>
              <w:widowControl/>
              <w:spacing w:line="360" w:lineRule="auto"/>
              <w:jc w:val="left"/>
              <w:rPr>
                <w:rFonts w:hint="eastAsia"/>
              </w:rPr>
            </w:pPr>
            <w:r>
              <w:rPr>
                <w:rFonts w:hint="eastAsia"/>
              </w:rPr>
              <w:t>接线端子</w:t>
            </w:r>
          </w:p>
        </w:tc>
        <w:tc>
          <w:tcPr>
            <w:tcW w:w="3969" w:type="dxa"/>
            <w:vAlign w:val="top"/>
          </w:tcPr>
          <w:p>
            <w:pPr>
              <w:widowControl/>
              <w:spacing w:line="360" w:lineRule="auto"/>
              <w:jc w:val="left"/>
              <w:rPr>
                <w:rFonts w:hint="eastAsia"/>
              </w:rPr>
            </w:pPr>
            <w:r>
              <w:rPr>
                <w:rFonts w:hint="eastAsia"/>
              </w:rPr>
              <w:t>铝鼻子DL50</w:t>
            </w:r>
            <w:r>
              <w:rPr>
                <w:rFonts w:hint="eastAsia" w:ascii="宋体" w:hAnsi="宋体"/>
              </w:rPr>
              <w:t>～</w:t>
            </w:r>
            <w:r>
              <w:rPr>
                <w:rFonts w:hint="eastAsia"/>
              </w:rPr>
              <w:t>70mm²（与线缆配套）</w:t>
            </w:r>
          </w:p>
        </w:tc>
        <w:tc>
          <w:tcPr>
            <w:tcW w:w="748" w:type="dxa"/>
            <w:vAlign w:val="top"/>
          </w:tcPr>
          <w:p>
            <w:pPr>
              <w:widowControl/>
              <w:spacing w:line="360" w:lineRule="auto"/>
              <w:jc w:val="center"/>
              <w:rPr>
                <w:rFonts w:hint="eastAsia"/>
              </w:rPr>
            </w:pPr>
            <w:r>
              <w:rPr>
                <w:rFonts w:hint="eastAsia"/>
              </w:rPr>
              <w:t>个</w:t>
            </w:r>
          </w:p>
        </w:tc>
        <w:tc>
          <w:tcPr>
            <w:tcW w:w="843" w:type="dxa"/>
            <w:vAlign w:val="top"/>
          </w:tcPr>
          <w:p>
            <w:pPr>
              <w:widowControl/>
              <w:spacing w:line="360" w:lineRule="auto"/>
              <w:jc w:val="center"/>
              <w:rPr>
                <w:rFonts w:hint="eastAsia"/>
              </w:rPr>
            </w:pPr>
            <w:r>
              <w:rPr>
                <w:rFonts w:hint="eastAsia"/>
              </w:rPr>
              <w:t>1</w:t>
            </w:r>
          </w:p>
        </w:tc>
      </w:tr>
    </w:tbl>
    <w:p>
      <w:pPr>
        <w:widowControl/>
        <w:spacing w:line="360" w:lineRule="auto"/>
        <w:jc w:val="left"/>
        <w:rPr>
          <w:rFonts w:hint="eastAsia"/>
        </w:rPr>
      </w:pPr>
      <w:r>
        <w:rPr>
          <w:rFonts w:hint="eastAsia"/>
          <w:szCs w:val="21"/>
        </w:rPr>
        <w:t xml:space="preserve">4. </w:t>
      </w:r>
      <w:r>
        <w:rPr>
          <w:rFonts w:hint="eastAsia"/>
        </w:rPr>
        <w:t>2.2系统软件（程序）配置表</w:t>
      </w:r>
    </w:p>
    <w:tbl>
      <w:tblPr>
        <w:tblStyle w:val="3"/>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544"/>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top"/>
          </w:tcPr>
          <w:p>
            <w:pPr>
              <w:widowControl/>
              <w:spacing w:line="360" w:lineRule="auto"/>
              <w:jc w:val="center"/>
              <w:rPr>
                <w:rFonts w:hint="eastAsia"/>
              </w:rPr>
            </w:pPr>
            <w:r>
              <w:rPr>
                <w:rFonts w:hint="eastAsia"/>
              </w:rPr>
              <w:t>序号</w:t>
            </w:r>
          </w:p>
        </w:tc>
        <w:tc>
          <w:tcPr>
            <w:tcW w:w="3544" w:type="dxa"/>
            <w:vAlign w:val="top"/>
          </w:tcPr>
          <w:p>
            <w:pPr>
              <w:widowControl/>
              <w:spacing w:line="360" w:lineRule="auto"/>
              <w:jc w:val="center"/>
              <w:rPr>
                <w:rFonts w:hint="eastAsia"/>
              </w:rPr>
            </w:pPr>
            <w:r>
              <w:rPr>
                <w:rFonts w:hint="eastAsia"/>
              </w:rPr>
              <w:t>软件（程序）名称</w:t>
            </w:r>
          </w:p>
        </w:tc>
        <w:tc>
          <w:tcPr>
            <w:tcW w:w="4111" w:type="dxa"/>
            <w:vAlign w:val="top"/>
          </w:tcPr>
          <w:p>
            <w:pPr>
              <w:widowControl/>
              <w:spacing w:line="360" w:lineRule="auto"/>
              <w:jc w:val="center"/>
              <w:rPr>
                <w:rFonts w:hint="eastAsia"/>
              </w:rPr>
            </w:pPr>
            <w:r>
              <w:rPr>
                <w:rFonts w:hint="eastAsia"/>
              </w:rPr>
              <w:t>型号、参数、开发要求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top"/>
          </w:tcPr>
          <w:p>
            <w:pPr>
              <w:widowControl/>
              <w:spacing w:line="360" w:lineRule="auto"/>
              <w:jc w:val="center"/>
              <w:rPr>
                <w:rFonts w:hint="eastAsia"/>
              </w:rPr>
            </w:pPr>
            <w:r>
              <w:rPr>
                <w:rFonts w:hint="eastAsia"/>
              </w:rPr>
              <w:t>1</w:t>
            </w:r>
          </w:p>
        </w:tc>
        <w:tc>
          <w:tcPr>
            <w:tcW w:w="3544" w:type="dxa"/>
            <w:vAlign w:val="top"/>
          </w:tcPr>
          <w:p>
            <w:pPr>
              <w:widowControl/>
              <w:spacing w:line="360" w:lineRule="auto"/>
              <w:jc w:val="left"/>
              <w:rPr>
                <w:rFonts w:hint="eastAsia"/>
              </w:rPr>
            </w:pPr>
            <w:r>
              <w:rPr>
                <w:rFonts w:hint="eastAsia"/>
              </w:rPr>
              <w:t>电参数采集分析软件</w:t>
            </w:r>
          </w:p>
        </w:tc>
        <w:tc>
          <w:tcPr>
            <w:tcW w:w="4111" w:type="dxa"/>
            <w:vAlign w:val="top"/>
          </w:tcPr>
          <w:p>
            <w:pPr>
              <w:widowControl/>
              <w:spacing w:line="360" w:lineRule="auto"/>
              <w:jc w:val="left"/>
              <w:rPr>
                <w:rFonts w:hint="eastAsia"/>
              </w:rPr>
            </w:pPr>
            <w:r>
              <w:rPr>
                <w:rFonts w:hint="eastAsia"/>
              </w:rPr>
              <w:t>基于</w:t>
            </w:r>
            <w:r>
              <w:rPr>
                <w:rFonts w:hint="eastAsia" w:ascii="宋体" w:hAnsi="宋体" w:cs="宋体"/>
              </w:rPr>
              <w:t>Windows Server2012数据库通用软件MySQL Enterprise Server开发（主服务器已建成）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top"/>
          </w:tcPr>
          <w:p>
            <w:pPr>
              <w:widowControl/>
              <w:spacing w:line="360" w:lineRule="auto"/>
              <w:jc w:val="center"/>
              <w:rPr>
                <w:rFonts w:hint="eastAsia"/>
              </w:rPr>
            </w:pPr>
            <w:r>
              <w:rPr>
                <w:rFonts w:hint="eastAsia"/>
              </w:rPr>
              <w:t>2</w:t>
            </w:r>
          </w:p>
        </w:tc>
        <w:tc>
          <w:tcPr>
            <w:tcW w:w="3544" w:type="dxa"/>
            <w:vAlign w:val="top"/>
          </w:tcPr>
          <w:p>
            <w:pPr>
              <w:widowControl/>
              <w:spacing w:line="360" w:lineRule="auto"/>
              <w:jc w:val="left"/>
              <w:rPr>
                <w:rFonts w:hint="eastAsia"/>
              </w:rPr>
            </w:pPr>
            <w:r>
              <w:rPr>
                <w:rFonts w:hint="eastAsia"/>
              </w:rPr>
              <w:t>系统通讯程序</w:t>
            </w:r>
          </w:p>
        </w:tc>
        <w:tc>
          <w:tcPr>
            <w:tcW w:w="4111" w:type="dxa"/>
            <w:vAlign w:val="top"/>
          </w:tcPr>
          <w:p>
            <w:pPr>
              <w:widowControl/>
              <w:spacing w:line="360" w:lineRule="auto"/>
              <w:jc w:val="left"/>
              <w:rPr>
                <w:rFonts w:hint="eastAsia"/>
              </w:rPr>
            </w:pPr>
            <w:r>
              <w:rPr>
                <w:rFonts w:hint="eastAsia"/>
              </w:rPr>
              <w:t>软件开发符合</w:t>
            </w:r>
            <w:r>
              <w:rPr>
                <w:rFonts w:hint="eastAsia" w:ascii="宋体" w:hAnsi="宋体"/>
                <w:szCs w:val="21"/>
              </w:rPr>
              <w:t>DLT 645-2007标准规约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top"/>
          </w:tcPr>
          <w:p>
            <w:pPr>
              <w:widowControl/>
              <w:spacing w:line="360" w:lineRule="auto"/>
              <w:jc w:val="center"/>
              <w:rPr>
                <w:rFonts w:hint="eastAsia"/>
              </w:rPr>
            </w:pPr>
            <w:r>
              <w:rPr>
                <w:rFonts w:hint="eastAsia"/>
              </w:rPr>
              <w:t>3</w:t>
            </w:r>
          </w:p>
        </w:tc>
        <w:tc>
          <w:tcPr>
            <w:tcW w:w="3544" w:type="dxa"/>
            <w:vAlign w:val="top"/>
          </w:tcPr>
          <w:p>
            <w:pPr>
              <w:widowControl/>
              <w:spacing w:line="360" w:lineRule="auto"/>
              <w:jc w:val="left"/>
              <w:rPr>
                <w:rFonts w:hint="eastAsia"/>
              </w:rPr>
            </w:pPr>
            <w:r>
              <w:rPr>
                <w:rFonts w:hint="eastAsia"/>
              </w:rPr>
              <w:t>系统运行软件</w:t>
            </w:r>
          </w:p>
        </w:tc>
        <w:tc>
          <w:tcPr>
            <w:tcW w:w="4111" w:type="dxa"/>
            <w:vAlign w:val="top"/>
          </w:tcPr>
          <w:p>
            <w:pPr>
              <w:widowControl/>
              <w:spacing w:line="360" w:lineRule="auto"/>
              <w:jc w:val="left"/>
              <w:rPr>
                <w:rFonts w:hint="eastAsia"/>
              </w:rPr>
            </w:pPr>
            <w:r>
              <w:rPr>
                <w:rFonts w:hint="eastAsia" w:ascii="宋体" w:hAnsi="宋体"/>
                <w:kern w:val="0"/>
                <w:szCs w:val="21"/>
              </w:rPr>
              <w:t>投标方根据需求自行研发、提供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top"/>
          </w:tcPr>
          <w:p>
            <w:pPr>
              <w:widowControl/>
              <w:spacing w:line="360" w:lineRule="auto"/>
              <w:jc w:val="center"/>
              <w:rPr>
                <w:rFonts w:hint="eastAsia"/>
              </w:rPr>
            </w:pPr>
            <w:r>
              <w:rPr>
                <w:rFonts w:hint="eastAsia"/>
              </w:rPr>
              <w:t>4</w:t>
            </w:r>
          </w:p>
        </w:tc>
        <w:tc>
          <w:tcPr>
            <w:tcW w:w="3544" w:type="dxa"/>
            <w:vAlign w:val="top"/>
          </w:tcPr>
          <w:p>
            <w:pPr>
              <w:widowControl/>
              <w:spacing w:line="360" w:lineRule="auto"/>
              <w:jc w:val="left"/>
              <w:rPr>
                <w:rFonts w:hint="eastAsia"/>
              </w:rPr>
            </w:pPr>
            <w:r>
              <w:rPr>
                <w:rFonts w:hint="eastAsia"/>
              </w:rPr>
              <w:t>配合服务器软件的组态程序</w:t>
            </w:r>
          </w:p>
        </w:tc>
        <w:tc>
          <w:tcPr>
            <w:tcW w:w="4111" w:type="dxa"/>
            <w:vAlign w:val="top"/>
          </w:tcPr>
          <w:p>
            <w:pPr>
              <w:widowControl/>
              <w:spacing w:line="360" w:lineRule="auto"/>
              <w:jc w:val="left"/>
              <w:rPr>
                <w:rFonts w:hint="eastAsia"/>
              </w:rPr>
            </w:pPr>
            <w:r>
              <w:rPr>
                <w:rFonts w:hint="eastAsia" w:ascii="宋体" w:hAnsi="宋体"/>
                <w:kern w:val="0"/>
                <w:szCs w:val="21"/>
              </w:rPr>
              <w:t>UniVision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top"/>
          </w:tcPr>
          <w:p>
            <w:pPr>
              <w:widowControl/>
              <w:spacing w:line="360" w:lineRule="auto"/>
              <w:jc w:val="center"/>
              <w:rPr>
                <w:rFonts w:hint="eastAsia"/>
              </w:rPr>
            </w:pPr>
            <w:r>
              <w:rPr>
                <w:rFonts w:hint="eastAsia"/>
              </w:rPr>
              <w:t>5</w:t>
            </w:r>
          </w:p>
        </w:tc>
        <w:tc>
          <w:tcPr>
            <w:tcW w:w="3544" w:type="dxa"/>
            <w:vAlign w:val="top"/>
          </w:tcPr>
          <w:p>
            <w:pPr>
              <w:widowControl/>
              <w:spacing w:line="360" w:lineRule="auto"/>
              <w:jc w:val="left"/>
              <w:rPr>
                <w:rFonts w:hint="eastAsia"/>
              </w:rPr>
            </w:pPr>
            <w:r>
              <w:rPr>
                <w:rFonts w:hint="eastAsia"/>
              </w:rPr>
              <w:t>箱门开/闭报警软件</w:t>
            </w:r>
          </w:p>
        </w:tc>
        <w:tc>
          <w:tcPr>
            <w:tcW w:w="4111" w:type="dxa"/>
            <w:vAlign w:val="top"/>
          </w:tcPr>
          <w:p>
            <w:pPr>
              <w:widowControl/>
              <w:spacing w:line="360" w:lineRule="auto"/>
              <w:jc w:val="left"/>
              <w:rPr>
                <w:rFonts w:hint="eastAsia" w:ascii="宋体" w:hAnsi="宋体"/>
                <w:kern w:val="0"/>
                <w:szCs w:val="21"/>
              </w:rPr>
            </w:pPr>
            <w:r>
              <w:rPr>
                <w:rFonts w:hint="eastAsia" w:ascii="宋体" w:hAnsi="宋体"/>
                <w:kern w:val="0"/>
                <w:szCs w:val="21"/>
              </w:rPr>
              <w:t>投标方根据需求自行研发、提供</w:t>
            </w:r>
          </w:p>
        </w:tc>
      </w:tr>
    </w:tbl>
    <w:p>
      <w:pPr>
        <w:widowControl/>
        <w:spacing w:line="360" w:lineRule="auto"/>
        <w:jc w:val="left"/>
        <w:rPr>
          <w:rFonts w:hint="eastAsia"/>
        </w:rPr>
      </w:pPr>
      <w:r>
        <w:rPr>
          <w:rFonts w:hint="eastAsia"/>
          <w:szCs w:val="21"/>
        </w:rPr>
        <w:t xml:space="preserve">4. </w:t>
      </w:r>
      <w:r>
        <w:rPr>
          <w:rFonts w:hint="eastAsia"/>
        </w:rPr>
        <w:t>2.3系统主要元部件技术要求</w:t>
      </w:r>
    </w:p>
    <w:p>
      <w:pPr>
        <w:widowControl/>
        <w:spacing w:line="360" w:lineRule="auto"/>
        <w:jc w:val="left"/>
        <w:rPr>
          <w:rFonts w:hint="eastAsia"/>
        </w:rPr>
      </w:pPr>
      <w:r>
        <w:rPr>
          <w:rFonts w:hint="eastAsia"/>
        </w:rPr>
        <w:t>*</w:t>
      </w:r>
      <w:r>
        <w:rPr>
          <w:rFonts w:hint="eastAsia"/>
          <w:szCs w:val="21"/>
        </w:rPr>
        <w:t xml:space="preserve">4. </w:t>
      </w:r>
      <w:r>
        <w:rPr>
          <w:rFonts w:hint="eastAsia"/>
        </w:rPr>
        <w:t>2.3.1远传计量专用箱体</w:t>
      </w:r>
    </w:p>
    <w:p>
      <w:pPr>
        <w:spacing w:line="360" w:lineRule="auto"/>
        <w:ind w:firstLine="440" w:firstLineChars="200"/>
        <w:rPr>
          <w:rFonts w:hint="eastAsia"/>
        </w:rPr>
      </w:pPr>
      <w:r>
        <w:rPr>
          <w:rFonts w:hint="eastAsia"/>
        </w:rPr>
        <w:t>箱体要求采用SMC材质玻璃钢密闭双腔体镀锌金具连接制造。</w:t>
      </w:r>
    </w:p>
    <w:p>
      <w:pPr>
        <w:widowControl/>
        <w:spacing w:line="360" w:lineRule="auto"/>
        <w:ind w:firstLine="444" w:firstLineChars="202"/>
        <w:jc w:val="left"/>
        <w:rPr>
          <w:rFonts w:hint="eastAsia"/>
        </w:rPr>
      </w:pPr>
      <w:r>
        <w:rPr>
          <w:rFonts w:hint="eastAsia"/>
        </w:rPr>
        <w:t>A腔体内包括预装电木垫板、接线端子盒、导轨、空气开关、BV线束、双绞通讯线束等必要的辅助硬件，腔体外部有防盗锁具。腔体装配电能表侧要求有透明防水观察窗。</w:t>
      </w:r>
    </w:p>
    <w:p>
      <w:pPr>
        <w:spacing w:line="360" w:lineRule="auto"/>
        <w:ind w:firstLine="440" w:firstLineChars="200"/>
        <w:rPr>
          <w:rFonts w:hint="eastAsia"/>
        </w:rPr>
      </w:pPr>
      <w:r>
        <w:rPr>
          <w:rFonts w:hint="eastAsia"/>
        </w:rPr>
        <w:t>B腔体加装电流互感器等必备电子元器件构成二次回路。</w:t>
      </w:r>
    </w:p>
    <w:p>
      <w:pPr>
        <w:widowControl/>
        <w:spacing w:line="360" w:lineRule="auto"/>
        <w:ind w:firstLine="444" w:firstLineChars="202"/>
        <w:jc w:val="left"/>
        <w:rPr>
          <w:rFonts w:hint="eastAsia"/>
        </w:rPr>
      </w:pPr>
      <w:r>
        <w:rPr>
          <w:rFonts w:hint="eastAsia"/>
        </w:rPr>
        <w:t>单侧箱体外形尺寸设计、密闭性、力学强度、机械性能按GB/T1449-2005标准要求。</w:t>
      </w:r>
    </w:p>
    <w:p>
      <w:pPr>
        <w:widowControl/>
        <w:spacing w:line="360" w:lineRule="auto"/>
        <w:ind w:firstLine="444" w:firstLineChars="202"/>
        <w:jc w:val="left"/>
        <w:rPr>
          <w:rFonts w:hint="eastAsia"/>
        </w:rPr>
      </w:pPr>
      <w:r>
        <w:rPr>
          <w:rFonts w:hint="eastAsia"/>
        </w:rPr>
        <w:t>箱体A/B腔体单只外形尺寸最小要求53</w:t>
      </w:r>
      <w:r>
        <w:t>5</w:t>
      </w:r>
      <w:r>
        <w:rPr>
          <w:rFonts w:hint="eastAsia"/>
        </w:rPr>
        <w:t>×4</w:t>
      </w:r>
      <w:r>
        <w:t>80</w:t>
      </w:r>
      <w:r>
        <w:rPr>
          <w:rFonts w:hint="eastAsia"/>
        </w:rPr>
        <w:t>×</w:t>
      </w:r>
      <w:r>
        <w:t>165</w:t>
      </w:r>
      <w:r>
        <w:rPr>
          <w:rFonts w:hint="eastAsia"/>
        </w:rPr>
        <w:t>mm，确保空间留有余量以便加装其他有可能的装置。</w:t>
      </w:r>
    </w:p>
    <w:p>
      <w:pPr>
        <w:widowControl/>
        <w:spacing w:line="360" w:lineRule="auto"/>
        <w:jc w:val="left"/>
        <w:rPr>
          <w:rFonts w:hint="eastAsia"/>
        </w:rPr>
      </w:pPr>
      <w:r>
        <w:rPr>
          <w:rFonts w:hint="eastAsia"/>
        </w:rPr>
        <w:t>*</w:t>
      </w:r>
      <w:r>
        <w:rPr>
          <w:rFonts w:hint="eastAsia"/>
          <w:szCs w:val="21"/>
        </w:rPr>
        <w:t xml:space="preserve">4. </w:t>
      </w:r>
      <w:r>
        <w:rPr>
          <w:rFonts w:hint="eastAsia"/>
        </w:rPr>
        <w:t>2.3.2智能采集传输模块</w:t>
      </w:r>
    </w:p>
    <w:p>
      <w:pPr>
        <w:spacing w:line="360" w:lineRule="auto"/>
        <w:ind w:firstLine="427"/>
        <w:rPr>
          <w:rFonts w:hint="eastAsia" w:hAnsi="宋体"/>
          <w:szCs w:val="21"/>
        </w:rPr>
      </w:pPr>
      <w:r>
        <w:rPr>
          <w:rFonts w:hint="eastAsia" w:hAnsi="宋体"/>
          <w:szCs w:val="21"/>
        </w:rPr>
        <w:t>智能采集传输模块是指：能与现行服务器系统软件电参数采集、分析系统（基于</w:t>
      </w:r>
      <w:r>
        <w:rPr>
          <w:rFonts w:hint="eastAsia" w:ascii="宋体" w:hAnsi="宋体" w:cs="宋体"/>
        </w:rPr>
        <w:t>Windows Server2012系统，数据库软件MySQL Enterprise Server开发</w:t>
      </w:r>
      <w:r>
        <w:rPr>
          <w:rFonts w:hint="eastAsia" w:hAnsi="宋体"/>
          <w:szCs w:val="21"/>
        </w:rPr>
        <w:t>）相互通信、协作，可与各种类型的具有RS485/RS232多能电能表或其他温度、压力传感器配套工作，将信号采集装置、GPRS模块、供电直流电源、断电通信电容电源、主板温控单元、短信/语音处理单元统一集成，可实现数据的远程无线透明传输、具备通信功能，适应东北野外极端气候条件的装置。</w:t>
      </w:r>
    </w:p>
    <w:p>
      <w:pPr>
        <w:spacing w:line="360" w:lineRule="auto"/>
        <w:ind w:firstLine="427"/>
        <w:rPr>
          <w:rFonts w:hint="eastAsia" w:hAnsi="宋体"/>
          <w:szCs w:val="21"/>
        </w:rPr>
      </w:pPr>
      <w:r>
        <w:rPr>
          <w:rFonts w:hint="eastAsia" w:hAnsi="宋体"/>
          <w:szCs w:val="21"/>
        </w:rPr>
        <w:t>总体设计要求：智能采集传输模块（包括硬件和软件部分）（以下简称模块）部件整体设计合理，系统稳定可靠、操作性强，模块应便于维护，有相应的措施保证通讯的稳定性，运行安全可靠。在满足规定的功能条件下，设计应满足于环境相适应的机械性能、电磁兼容性等要求，考虑可维护性和可扩展性，兼顾经济合理性。模块能与已建成使用电参数采集、分析系统（基于</w:t>
      </w:r>
      <w:r>
        <w:rPr>
          <w:rFonts w:hint="eastAsia" w:ascii="宋体" w:hAnsi="宋体" w:cs="宋体"/>
        </w:rPr>
        <w:t>Windows Server2012系统，数据库软件MySQL Enterprise Server开发</w:t>
      </w:r>
      <w:r>
        <w:rPr>
          <w:rFonts w:hint="eastAsia" w:hAnsi="宋体"/>
          <w:szCs w:val="21"/>
        </w:rPr>
        <w:t>）主站软件系统兼容。</w:t>
      </w:r>
    </w:p>
    <w:p>
      <w:pPr>
        <w:spacing w:line="360" w:lineRule="auto"/>
        <w:ind w:firstLine="427"/>
        <w:rPr>
          <w:rFonts w:hint="eastAsia" w:hAnsi="宋体"/>
          <w:szCs w:val="21"/>
        </w:rPr>
      </w:pPr>
      <w:r>
        <w:rPr>
          <w:rFonts w:hint="eastAsia" w:hAnsi="宋体"/>
          <w:szCs w:val="21"/>
        </w:rPr>
        <w:t>模块外壳体采用铝合金浸涂防腐漆制造，具备密闭性、防老化性、无线电讯号通透性和一定的力学强度。模块将信号采集装置、GPRS模块、模块供电直流电源、断电通信电容电源、主板温控单元、短信/语音处理单元统一集成为一个设备。</w:t>
      </w:r>
    </w:p>
    <w:p>
      <w:pPr>
        <w:spacing w:line="360" w:lineRule="auto"/>
        <w:rPr>
          <w:rFonts w:ascii="宋体" w:hAnsi="宋体"/>
          <w:szCs w:val="21"/>
        </w:rPr>
      </w:pPr>
      <w:r>
        <w:rPr>
          <w:rFonts w:hint="eastAsia" w:ascii="宋体" w:hAnsi="宋体"/>
          <w:szCs w:val="21"/>
        </w:rPr>
        <w:t>*</w:t>
      </w:r>
      <w:r>
        <w:rPr>
          <w:rFonts w:hint="eastAsia"/>
          <w:szCs w:val="21"/>
        </w:rPr>
        <w:t xml:space="preserve">4. </w:t>
      </w:r>
      <w:r>
        <w:rPr>
          <w:rFonts w:hint="eastAsia" w:ascii="宋体" w:hAnsi="宋体"/>
          <w:szCs w:val="21"/>
        </w:rPr>
        <w:t>2.4系统运行要求</w:t>
      </w:r>
    </w:p>
    <w:p>
      <w:pPr>
        <w:spacing w:line="360" w:lineRule="auto"/>
        <w:ind w:firstLine="427"/>
        <w:rPr>
          <w:rFonts w:hint="eastAsia" w:hAnsi="宋体"/>
          <w:szCs w:val="21"/>
        </w:rPr>
      </w:pPr>
      <w:r>
        <w:rPr>
          <w:rFonts w:hint="eastAsia"/>
        </w:rPr>
        <w:t>供货方提供的产品需经过与现行</w:t>
      </w:r>
      <w:r>
        <w:rPr>
          <w:rFonts w:hint="eastAsia" w:hAnsi="宋体"/>
          <w:szCs w:val="21"/>
        </w:rPr>
        <w:t>电参数采集、分析系统（基于</w:t>
      </w:r>
      <w:r>
        <w:rPr>
          <w:rFonts w:hint="eastAsia" w:ascii="宋体" w:hAnsi="宋体" w:cs="宋体"/>
        </w:rPr>
        <w:t>Windows Server2012系统，数据库软件MySQL Enterprise Server开发</w:t>
      </w:r>
      <w:r>
        <w:rPr>
          <w:rFonts w:hint="eastAsia" w:hAnsi="宋体"/>
          <w:szCs w:val="21"/>
        </w:rPr>
        <w:t>）主站软件</w:t>
      </w:r>
      <w:r>
        <w:rPr>
          <w:rFonts w:hint="eastAsia"/>
        </w:rPr>
        <w:t>并网单品测试试验，实验合格签订技术协议后方可签订供货合同。</w:t>
      </w:r>
    </w:p>
    <w:p>
      <w:pPr>
        <w:spacing w:line="360" w:lineRule="auto"/>
        <w:rPr>
          <w:rFonts w:hint="eastAsia"/>
        </w:rPr>
      </w:pPr>
      <w:r>
        <w:rPr>
          <w:rFonts w:hint="eastAsia"/>
        </w:rPr>
        <w:t>*</w:t>
      </w:r>
      <w:r>
        <w:rPr>
          <w:rFonts w:hint="eastAsia"/>
          <w:szCs w:val="21"/>
        </w:rPr>
        <w:t xml:space="preserve">4. </w:t>
      </w:r>
      <w:r>
        <w:rPr>
          <w:rFonts w:hint="eastAsia"/>
        </w:rPr>
        <w:t>3  基本数据</w:t>
      </w:r>
    </w:p>
    <w:p>
      <w:pPr>
        <w:spacing w:line="360" w:lineRule="auto"/>
        <w:rPr>
          <w:rFonts w:hint="eastAsia"/>
        </w:rPr>
      </w:pPr>
      <w:r>
        <w:rPr>
          <w:rFonts w:hint="eastAsia"/>
        </w:rPr>
        <w:t>*</w:t>
      </w:r>
      <w:r>
        <w:rPr>
          <w:rFonts w:hint="eastAsia"/>
          <w:szCs w:val="21"/>
        </w:rPr>
        <w:t xml:space="preserve">4. </w:t>
      </w:r>
      <w:r>
        <w:rPr>
          <w:rFonts w:hint="eastAsia"/>
        </w:rPr>
        <w:t>3.1 系统使用环境条件</w:t>
      </w:r>
    </w:p>
    <w:p>
      <w:pPr>
        <w:autoSpaceDE w:val="0"/>
        <w:autoSpaceDN w:val="0"/>
        <w:adjustRightInd w:val="0"/>
        <w:spacing w:line="360" w:lineRule="auto"/>
        <w:ind w:firstLine="427"/>
        <w:jc w:val="left"/>
        <w:rPr>
          <w:rFonts w:hint="eastAsia"/>
        </w:rPr>
      </w:pPr>
      <w:r>
        <w:rPr>
          <w:rFonts w:hint="eastAsia"/>
        </w:rPr>
        <w:t>系统正常工作环境温度、湿度满足以下分级表</w:t>
      </w:r>
    </w:p>
    <w:tbl>
      <w:tblPr>
        <w:tblStyle w:val="3"/>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523"/>
        <w:gridCol w:w="1701"/>
        <w:gridCol w:w="1418"/>
        <w:gridCol w:w="1701"/>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Merge w:val="restart"/>
            <w:vAlign w:val="center"/>
          </w:tcPr>
          <w:p>
            <w:pPr>
              <w:autoSpaceDE w:val="0"/>
              <w:autoSpaceDN w:val="0"/>
              <w:adjustRightInd w:val="0"/>
              <w:spacing w:line="360" w:lineRule="auto"/>
              <w:jc w:val="center"/>
              <w:rPr>
                <w:rFonts w:hint="eastAsia"/>
              </w:rPr>
            </w:pPr>
            <w:r>
              <w:rPr>
                <w:rFonts w:hint="eastAsia"/>
              </w:rPr>
              <w:t>级别</w:t>
            </w:r>
          </w:p>
        </w:tc>
        <w:tc>
          <w:tcPr>
            <w:tcW w:w="3224" w:type="dxa"/>
            <w:gridSpan w:val="2"/>
            <w:vAlign w:val="top"/>
          </w:tcPr>
          <w:p>
            <w:pPr>
              <w:autoSpaceDE w:val="0"/>
              <w:autoSpaceDN w:val="0"/>
              <w:adjustRightInd w:val="0"/>
              <w:spacing w:line="360" w:lineRule="auto"/>
              <w:jc w:val="center"/>
              <w:rPr>
                <w:rFonts w:hint="eastAsia"/>
              </w:rPr>
            </w:pPr>
            <w:r>
              <w:rPr>
                <w:rFonts w:hint="eastAsia"/>
              </w:rPr>
              <w:t>环境温度</w:t>
            </w:r>
          </w:p>
        </w:tc>
        <w:tc>
          <w:tcPr>
            <w:tcW w:w="3119" w:type="dxa"/>
            <w:gridSpan w:val="2"/>
            <w:vAlign w:val="top"/>
          </w:tcPr>
          <w:p>
            <w:pPr>
              <w:autoSpaceDE w:val="0"/>
              <w:autoSpaceDN w:val="0"/>
              <w:adjustRightInd w:val="0"/>
              <w:spacing w:line="360" w:lineRule="auto"/>
              <w:jc w:val="center"/>
              <w:rPr>
                <w:rFonts w:hint="eastAsia"/>
              </w:rPr>
            </w:pPr>
            <w:r>
              <w:rPr>
                <w:rFonts w:hint="eastAsia"/>
              </w:rPr>
              <w:t>湿  度</w:t>
            </w:r>
          </w:p>
        </w:tc>
        <w:tc>
          <w:tcPr>
            <w:tcW w:w="1559" w:type="dxa"/>
            <w:vMerge w:val="restart"/>
            <w:vAlign w:val="center"/>
          </w:tcPr>
          <w:p>
            <w:pPr>
              <w:autoSpaceDE w:val="0"/>
              <w:autoSpaceDN w:val="0"/>
              <w:adjustRightInd w:val="0"/>
              <w:spacing w:line="360" w:lineRule="auto"/>
              <w:jc w:val="center"/>
              <w:rPr>
                <w:rFonts w:hint="eastAsia"/>
              </w:rPr>
            </w:pPr>
            <w:r>
              <w:rPr>
                <w:rFonts w:hint="eastAsia"/>
              </w:rPr>
              <w:t>使用场所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Merge w:val="continue"/>
            <w:vAlign w:val="top"/>
          </w:tcPr>
          <w:p>
            <w:pPr>
              <w:autoSpaceDE w:val="0"/>
              <w:autoSpaceDN w:val="0"/>
              <w:adjustRightInd w:val="0"/>
              <w:spacing w:line="360" w:lineRule="auto"/>
              <w:jc w:val="center"/>
              <w:rPr>
                <w:rFonts w:hint="eastAsia"/>
              </w:rPr>
            </w:pPr>
          </w:p>
        </w:tc>
        <w:tc>
          <w:tcPr>
            <w:tcW w:w="1523" w:type="dxa"/>
            <w:vAlign w:val="top"/>
          </w:tcPr>
          <w:p>
            <w:pPr>
              <w:autoSpaceDE w:val="0"/>
              <w:autoSpaceDN w:val="0"/>
              <w:adjustRightInd w:val="0"/>
              <w:spacing w:line="360" w:lineRule="auto"/>
              <w:jc w:val="center"/>
              <w:rPr>
                <w:rFonts w:hint="eastAsia"/>
              </w:rPr>
            </w:pPr>
            <w:r>
              <w:rPr>
                <w:rFonts w:hint="eastAsia"/>
              </w:rPr>
              <w:t>范围/℃</w:t>
            </w:r>
          </w:p>
        </w:tc>
        <w:tc>
          <w:tcPr>
            <w:tcW w:w="1701" w:type="dxa"/>
            <w:vAlign w:val="top"/>
          </w:tcPr>
          <w:p>
            <w:pPr>
              <w:autoSpaceDE w:val="0"/>
              <w:autoSpaceDN w:val="0"/>
              <w:adjustRightInd w:val="0"/>
              <w:spacing w:line="360" w:lineRule="auto"/>
              <w:jc w:val="center"/>
              <w:rPr>
                <w:rFonts w:hint="eastAsia"/>
              </w:rPr>
            </w:pPr>
            <w:r>
              <w:rPr>
                <w:rFonts w:hint="eastAsia"/>
              </w:rPr>
              <w:t>最大变化率/℃/h</w:t>
            </w:r>
          </w:p>
        </w:tc>
        <w:tc>
          <w:tcPr>
            <w:tcW w:w="1418" w:type="dxa"/>
            <w:vAlign w:val="top"/>
          </w:tcPr>
          <w:p>
            <w:pPr>
              <w:autoSpaceDE w:val="0"/>
              <w:autoSpaceDN w:val="0"/>
              <w:adjustRightInd w:val="0"/>
              <w:spacing w:line="360" w:lineRule="auto"/>
              <w:jc w:val="center"/>
              <w:rPr>
                <w:rFonts w:hint="eastAsia"/>
              </w:rPr>
            </w:pPr>
            <w:r>
              <w:rPr>
                <w:rFonts w:hint="eastAsia"/>
              </w:rPr>
              <w:t>相对湿度/%</w:t>
            </w:r>
          </w:p>
        </w:tc>
        <w:tc>
          <w:tcPr>
            <w:tcW w:w="1701" w:type="dxa"/>
            <w:vAlign w:val="top"/>
          </w:tcPr>
          <w:p>
            <w:pPr>
              <w:autoSpaceDE w:val="0"/>
              <w:autoSpaceDN w:val="0"/>
              <w:adjustRightInd w:val="0"/>
              <w:spacing w:line="360" w:lineRule="auto"/>
              <w:jc w:val="center"/>
              <w:rPr>
                <w:rFonts w:hint="eastAsia"/>
              </w:rPr>
            </w:pPr>
            <w:r>
              <w:rPr>
                <w:rFonts w:hint="eastAsia"/>
              </w:rPr>
              <w:t>最大绝对湿度/g/m³</w:t>
            </w:r>
          </w:p>
        </w:tc>
        <w:tc>
          <w:tcPr>
            <w:tcW w:w="1559" w:type="dxa"/>
            <w:vMerge w:val="continue"/>
            <w:vAlign w:val="top"/>
          </w:tcPr>
          <w:p>
            <w:pPr>
              <w:autoSpaceDE w:val="0"/>
              <w:autoSpaceDN w:val="0"/>
              <w:adjustRightInd w:val="0"/>
              <w:spacing w:line="36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top"/>
          </w:tcPr>
          <w:p>
            <w:pPr>
              <w:autoSpaceDE w:val="0"/>
              <w:autoSpaceDN w:val="0"/>
              <w:adjustRightInd w:val="0"/>
              <w:spacing w:line="360" w:lineRule="auto"/>
              <w:jc w:val="center"/>
              <w:rPr>
                <w:rFonts w:hint="eastAsia"/>
              </w:rPr>
            </w:pPr>
            <w:r>
              <w:rPr>
                <w:rFonts w:hint="eastAsia"/>
              </w:rPr>
              <w:t>C2</w:t>
            </w:r>
          </w:p>
        </w:tc>
        <w:tc>
          <w:tcPr>
            <w:tcW w:w="1523" w:type="dxa"/>
            <w:vAlign w:val="top"/>
          </w:tcPr>
          <w:p>
            <w:pPr>
              <w:autoSpaceDE w:val="0"/>
              <w:autoSpaceDN w:val="0"/>
              <w:adjustRightInd w:val="0"/>
              <w:spacing w:line="360" w:lineRule="auto"/>
              <w:jc w:val="center"/>
              <w:rPr>
                <w:rFonts w:hint="eastAsia"/>
              </w:rPr>
            </w:pPr>
            <w:r>
              <w:rPr>
                <w:rFonts w:hint="eastAsia"/>
              </w:rPr>
              <w:t>-40～+60</w:t>
            </w:r>
          </w:p>
        </w:tc>
        <w:tc>
          <w:tcPr>
            <w:tcW w:w="1701" w:type="dxa"/>
            <w:vAlign w:val="top"/>
          </w:tcPr>
          <w:p>
            <w:pPr>
              <w:autoSpaceDE w:val="0"/>
              <w:autoSpaceDN w:val="0"/>
              <w:adjustRightInd w:val="0"/>
              <w:spacing w:line="360" w:lineRule="auto"/>
              <w:jc w:val="center"/>
              <w:rPr>
                <w:rFonts w:hint="eastAsia"/>
              </w:rPr>
            </w:pPr>
            <w:r>
              <w:rPr>
                <w:rFonts w:hint="eastAsia"/>
              </w:rPr>
              <w:t>20</w:t>
            </w:r>
          </w:p>
        </w:tc>
        <w:tc>
          <w:tcPr>
            <w:tcW w:w="1418" w:type="dxa"/>
            <w:vAlign w:val="top"/>
          </w:tcPr>
          <w:p>
            <w:pPr>
              <w:autoSpaceDE w:val="0"/>
              <w:autoSpaceDN w:val="0"/>
              <w:adjustRightInd w:val="0"/>
              <w:spacing w:line="360" w:lineRule="auto"/>
              <w:jc w:val="center"/>
              <w:rPr>
                <w:rFonts w:hint="eastAsia"/>
              </w:rPr>
            </w:pPr>
            <w:r>
              <w:rPr>
                <w:rFonts w:hint="eastAsia"/>
              </w:rPr>
              <w:t>5—95</w:t>
            </w:r>
          </w:p>
        </w:tc>
        <w:tc>
          <w:tcPr>
            <w:tcW w:w="1701" w:type="dxa"/>
            <w:vAlign w:val="top"/>
          </w:tcPr>
          <w:p>
            <w:pPr>
              <w:autoSpaceDE w:val="0"/>
              <w:autoSpaceDN w:val="0"/>
              <w:adjustRightInd w:val="0"/>
              <w:spacing w:line="360" w:lineRule="auto"/>
              <w:jc w:val="center"/>
              <w:rPr>
                <w:rFonts w:hint="eastAsia"/>
              </w:rPr>
            </w:pPr>
            <w:r>
              <w:rPr>
                <w:rFonts w:hint="eastAsia"/>
              </w:rPr>
              <w:t>28</w:t>
            </w:r>
          </w:p>
        </w:tc>
        <w:tc>
          <w:tcPr>
            <w:tcW w:w="1559" w:type="dxa"/>
            <w:vAlign w:val="top"/>
          </w:tcPr>
          <w:p>
            <w:pPr>
              <w:autoSpaceDE w:val="0"/>
              <w:autoSpaceDN w:val="0"/>
              <w:adjustRightInd w:val="0"/>
              <w:spacing w:line="360" w:lineRule="auto"/>
              <w:jc w:val="center"/>
              <w:rPr>
                <w:rFonts w:hint="eastAsia"/>
              </w:rPr>
            </w:pPr>
            <w:r>
              <w:rPr>
                <w:rFonts w:hint="eastAsia"/>
              </w:rPr>
              <w:t>户外</w:t>
            </w:r>
          </w:p>
        </w:tc>
      </w:tr>
    </w:tbl>
    <w:p>
      <w:pPr>
        <w:autoSpaceDE w:val="0"/>
        <w:autoSpaceDN w:val="0"/>
        <w:adjustRightInd w:val="0"/>
        <w:spacing w:line="360" w:lineRule="auto"/>
        <w:jc w:val="left"/>
        <w:rPr>
          <w:rFonts w:hint="eastAsia"/>
        </w:rPr>
      </w:pPr>
      <w:r>
        <w:rPr>
          <w:rFonts w:hint="eastAsia"/>
        </w:rPr>
        <w:t>*</w:t>
      </w:r>
      <w:r>
        <w:rPr>
          <w:rFonts w:hint="eastAsia"/>
          <w:szCs w:val="21"/>
        </w:rPr>
        <w:t xml:space="preserve">4. </w:t>
      </w:r>
      <w:r>
        <w:rPr>
          <w:rFonts w:hint="eastAsia"/>
        </w:rPr>
        <w:t>3.2 通讯功能</w:t>
      </w:r>
    </w:p>
    <w:p>
      <w:pPr>
        <w:autoSpaceDE w:val="0"/>
        <w:autoSpaceDN w:val="0"/>
        <w:adjustRightInd w:val="0"/>
        <w:spacing w:line="360" w:lineRule="auto"/>
        <w:ind w:firstLine="430"/>
        <w:jc w:val="left"/>
        <w:rPr>
          <w:rFonts w:hAnsi="宋体"/>
          <w:szCs w:val="21"/>
        </w:rPr>
      </w:pPr>
      <w:r>
        <w:rPr>
          <w:rFonts w:hint="eastAsia" w:hAnsi="宋体"/>
          <w:szCs w:val="21"/>
        </w:rPr>
        <w:t>系统能实时把测控数据，包括监控各个变压器台运行电参数传回现有主站系统；系统能够执行主站系统的控制指令；系统所监控的变压器台运行异常（包括停机、无收发信号、电压、电流越限等）情况能及时报警，经由主站系统显示状态异常。满足使用单位电力自动化管控系统实时性的要求。</w:t>
      </w:r>
    </w:p>
    <w:p>
      <w:pPr>
        <w:autoSpaceDE w:val="0"/>
        <w:autoSpaceDN w:val="0"/>
        <w:adjustRightInd w:val="0"/>
        <w:spacing w:line="360" w:lineRule="auto"/>
        <w:ind w:firstLine="430"/>
        <w:jc w:val="left"/>
        <w:rPr>
          <w:rFonts w:hint="eastAsia"/>
        </w:rPr>
      </w:pPr>
      <w:r>
        <w:rPr>
          <w:rFonts w:hint="eastAsia" w:hAnsi="宋体"/>
          <w:szCs w:val="21"/>
        </w:rPr>
        <w:t>通讯制式采用中国移动/中国联通</w:t>
      </w:r>
      <w:r>
        <w:rPr>
          <w:rFonts w:hAnsi="宋体"/>
          <w:szCs w:val="21"/>
        </w:rPr>
        <w:t>3G/4G/GPRS</w:t>
      </w:r>
      <w:r>
        <w:rPr>
          <w:rFonts w:hint="eastAsia" w:hAnsi="宋体"/>
          <w:szCs w:val="21"/>
        </w:rPr>
        <w:t>兼容模式。</w:t>
      </w:r>
    </w:p>
    <w:p>
      <w:pPr>
        <w:spacing w:line="360" w:lineRule="auto"/>
        <w:rPr>
          <w:rFonts w:hint="eastAsia"/>
        </w:rPr>
      </w:pPr>
      <w:r>
        <w:rPr>
          <w:rFonts w:hint="eastAsia"/>
        </w:rPr>
        <w:t>*</w:t>
      </w:r>
      <w:r>
        <w:rPr>
          <w:rFonts w:hint="eastAsia"/>
          <w:szCs w:val="21"/>
        </w:rPr>
        <w:t xml:space="preserve">4. </w:t>
      </w:r>
      <w:r>
        <w:rPr>
          <w:rFonts w:hint="eastAsia"/>
        </w:rPr>
        <w:t>3.</w:t>
      </w:r>
      <w:r>
        <w:rPr>
          <w:rFonts w:hint="eastAsia"/>
          <w:lang w:val="en-US" w:eastAsia="zh-CN"/>
        </w:rPr>
        <w:t>3</w:t>
      </w:r>
      <w:r>
        <w:rPr>
          <w:rFonts w:hint="eastAsia"/>
        </w:rPr>
        <w:t xml:space="preserve"> 系统回传上位机主要参数</w:t>
      </w:r>
    </w:p>
    <w:tbl>
      <w:tblPr>
        <w:tblStyle w:val="3"/>
        <w:tblW w:w="7421" w:type="dxa"/>
        <w:tblInd w:w="0" w:type="dxa"/>
        <w:tblLayout w:type="fixed"/>
        <w:tblCellMar>
          <w:top w:w="0" w:type="dxa"/>
          <w:left w:w="108" w:type="dxa"/>
          <w:bottom w:w="0" w:type="dxa"/>
          <w:right w:w="108" w:type="dxa"/>
        </w:tblCellMar>
      </w:tblPr>
      <w:tblGrid>
        <w:gridCol w:w="7421"/>
      </w:tblGrid>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实时各相电压</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实时各相电流</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实时电能示数</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主站指令时段电能采集</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功率</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功率因数</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正向有功总、峰、谷、平等各费率电量</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反向有功总、峰、谷、平等各费率电量</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正反向无功、四象限无功</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失压记录、失流记录、断相记录，包括开始时刻、结束时刻、累计时间、累计次数等</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其他事件记录：过压、不平衡、逆相序、上</w:t>
            </w:r>
            <w:r>
              <w:rPr>
                <w:rFonts w:ascii="宋体" w:hAnsi="宋体"/>
                <w:kern w:val="0"/>
                <w:szCs w:val="21"/>
              </w:rPr>
              <w:t>/</w:t>
            </w:r>
            <w:r>
              <w:rPr>
                <w:rFonts w:hint="eastAsia" w:ascii="宋体" w:hAnsi="宋体"/>
                <w:kern w:val="0"/>
                <w:szCs w:val="21"/>
              </w:rPr>
              <w:t>断电、超功率、校时等</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系统具备自动轮显功能，轮显参数、时间、顺序均可设置</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系统具有有功电能、无功电能、需量周期等秒脉冲信号输出功能</w:t>
            </w:r>
          </w:p>
        </w:tc>
      </w:tr>
      <w:tr>
        <w:tblPrEx>
          <w:tblLayout w:type="fixed"/>
          <w:tblCellMar>
            <w:top w:w="0" w:type="dxa"/>
            <w:left w:w="108" w:type="dxa"/>
            <w:bottom w:w="0" w:type="dxa"/>
            <w:right w:w="108" w:type="dxa"/>
          </w:tblCellMar>
        </w:tblPrEx>
        <w:tc>
          <w:tcPr>
            <w:tcW w:w="7421" w:type="dxa"/>
            <w:vAlign w:val="top"/>
          </w:tcPr>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系统具备本身故障自动检测功能</w:t>
            </w:r>
          </w:p>
        </w:tc>
      </w:tr>
    </w:tbl>
    <w:p>
      <w:pPr>
        <w:autoSpaceDE w:val="0"/>
        <w:autoSpaceDN w:val="0"/>
        <w:adjustRightInd w:val="0"/>
        <w:spacing w:line="360" w:lineRule="auto"/>
        <w:jc w:val="left"/>
        <w:rPr>
          <w:rFonts w:hint="eastAsia" w:ascii="宋体" w:hAnsi="宋体"/>
          <w:kern w:val="0"/>
          <w:szCs w:val="21"/>
        </w:rPr>
      </w:pPr>
      <w:r>
        <w:rPr>
          <w:rFonts w:hint="eastAsia" w:ascii="宋体" w:hAnsi="宋体"/>
          <w:kern w:val="0"/>
          <w:szCs w:val="21"/>
        </w:rPr>
        <w:t>*</w:t>
      </w:r>
      <w:r>
        <w:rPr>
          <w:rFonts w:hint="eastAsia"/>
          <w:szCs w:val="21"/>
        </w:rPr>
        <w:t xml:space="preserve">4. </w:t>
      </w:r>
      <w:r>
        <w:rPr>
          <w:rFonts w:hint="eastAsia" w:ascii="宋体" w:hAnsi="宋体"/>
          <w:kern w:val="0"/>
          <w:szCs w:val="21"/>
        </w:rPr>
        <w:t>3.</w:t>
      </w:r>
      <w:r>
        <w:rPr>
          <w:rFonts w:hint="eastAsia" w:ascii="宋体" w:hAnsi="宋体"/>
          <w:kern w:val="0"/>
          <w:szCs w:val="21"/>
          <w:lang w:val="en-US" w:eastAsia="zh-CN"/>
        </w:rPr>
        <w:t>4</w:t>
      </w:r>
      <w:r>
        <w:rPr>
          <w:rFonts w:hint="eastAsia" w:ascii="宋体" w:hAnsi="宋体"/>
          <w:kern w:val="0"/>
          <w:szCs w:val="21"/>
        </w:rPr>
        <w:t xml:space="preserve"> 系统安装地点及互感器变比</w:t>
      </w:r>
    </w:p>
    <w:p>
      <w:pPr>
        <w:spacing w:line="360" w:lineRule="auto"/>
        <w:ind w:firstLine="550" w:firstLineChars="250"/>
        <w:rPr>
          <w:rFonts w:hint="eastAsia" w:ascii="宋体" w:hAnsi="宋体"/>
          <w:kern w:val="0"/>
          <w:szCs w:val="21"/>
        </w:rPr>
      </w:pPr>
      <w:r>
        <w:rPr>
          <w:rFonts w:hint="eastAsia" w:ascii="宋体" w:hAnsi="宋体"/>
          <w:kern w:val="0"/>
          <w:szCs w:val="21"/>
        </w:rPr>
        <w:t>供货商合同签订前需与具体使用采油厂签订技术协议，在技术协议中明确系统安装地点、及每处地点对应的互感器变比。技术协议是供货合同的组成部分，与合同正文具有相同的法律效力。</w:t>
      </w:r>
    </w:p>
    <w:p>
      <w:pPr>
        <w:spacing w:line="360" w:lineRule="auto"/>
        <w:ind w:firstLine="550" w:firstLineChars="250"/>
        <w:rPr>
          <w:rFonts w:hint="eastAsia" w:ascii="宋体" w:hAnsi="宋体"/>
          <w:kern w:val="0"/>
          <w:szCs w:val="21"/>
        </w:rPr>
      </w:pPr>
      <w:r>
        <w:rPr>
          <w:rFonts w:hint="eastAsia" w:ascii="宋体" w:hAnsi="宋体"/>
          <w:kern w:val="0"/>
          <w:szCs w:val="21"/>
        </w:rPr>
        <w:t>供货商必须对设备工作场所有充分、详细的了解，需方有义务为供方提供支持。</w:t>
      </w:r>
    </w:p>
    <w:p>
      <w:pPr>
        <w:spacing w:line="360" w:lineRule="auto"/>
        <w:rPr>
          <w:rFonts w:hint="eastAsia" w:ascii="宋体" w:hAnsi="宋体"/>
          <w:kern w:val="0"/>
          <w:szCs w:val="21"/>
        </w:rPr>
      </w:pPr>
      <w:r>
        <w:rPr>
          <w:rFonts w:hint="eastAsia" w:ascii="宋体" w:hAnsi="宋体"/>
          <w:kern w:val="0"/>
          <w:szCs w:val="21"/>
        </w:rPr>
        <w:t>*</w:t>
      </w:r>
      <w:r>
        <w:rPr>
          <w:rFonts w:hint="eastAsia"/>
          <w:szCs w:val="21"/>
        </w:rPr>
        <w:t xml:space="preserve">4. </w:t>
      </w:r>
      <w:r>
        <w:rPr>
          <w:rFonts w:hint="eastAsia" w:ascii="宋体" w:hAnsi="宋体"/>
          <w:kern w:val="0"/>
          <w:szCs w:val="21"/>
        </w:rPr>
        <w:t>4 主要技术指标</w:t>
      </w:r>
    </w:p>
    <w:p>
      <w:pPr>
        <w:spacing w:line="360" w:lineRule="auto"/>
        <w:rPr>
          <w:rFonts w:hint="eastAsia" w:ascii="宋体" w:hAnsi="宋体"/>
          <w:kern w:val="0"/>
          <w:szCs w:val="21"/>
        </w:rPr>
      </w:pPr>
      <w:r>
        <w:rPr>
          <w:rFonts w:hint="eastAsia" w:ascii="宋体" w:hAnsi="宋体"/>
          <w:kern w:val="0"/>
          <w:szCs w:val="21"/>
        </w:rPr>
        <w:t>*</w:t>
      </w:r>
      <w:r>
        <w:rPr>
          <w:rFonts w:hint="eastAsia"/>
          <w:szCs w:val="21"/>
        </w:rPr>
        <w:t xml:space="preserve">4. </w:t>
      </w:r>
      <w:r>
        <w:rPr>
          <w:rFonts w:hint="eastAsia" w:ascii="宋体" w:hAnsi="宋体"/>
          <w:kern w:val="0"/>
          <w:szCs w:val="21"/>
        </w:rPr>
        <w:t>4.1 系统实时响应性</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数字量变化传送时间</w:t>
      </w:r>
      <w:r>
        <w:rPr>
          <w:rFonts w:hint="eastAsia" w:ascii="宋体" w:hAnsi="宋体"/>
          <w:kern w:val="0"/>
          <w:szCs w:val="21"/>
        </w:rPr>
        <w:tab/>
      </w:r>
      <w:r>
        <w:rPr>
          <w:rFonts w:hint="eastAsia" w:ascii="宋体" w:hAnsi="宋体"/>
          <w:kern w:val="0"/>
          <w:szCs w:val="21"/>
        </w:rPr>
        <w:t xml:space="preserve">    ＜3s</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模拟量变化传送时间</w:t>
      </w:r>
      <w:r>
        <w:rPr>
          <w:rFonts w:hint="eastAsia" w:ascii="宋体" w:hAnsi="宋体"/>
          <w:kern w:val="0"/>
          <w:szCs w:val="21"/>
        </w:rPr>
        <w:tab/>
      </w:r>
      <w:r>
        <w:rPr>
          <w:rFonts w:hint="eastAsia" w:ascii="宋体" w:hAnsi="宋体"/>
          <w:kern w:val="0"/>
          <w:szCs w:val="21"/>
        </w:rPr>
        <w:t xml:space="preserve">    ＜3s</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模拟量变化传送时间</w:t>
      </w:r>
      <w:r>
        <w:rPr>
          <w:rFonts w:hint="eastAsia" w:ascii="宋体" w:hAnsi="宋体"/>
          <w:kern w:val="0"/>
          <w:szCs w:val="21"/>
        </w:rPr>
        <w:tab/>
      </w:r>
      <w:r>
        <w:rPr>
          <w:rFonts w:hint="eastAsia" w:ascii="宋体" w:hAnsi="宋体"/>
          <w:kern w:val="0"/>
          <w:szCs w:val="21"/>
        </w:rPr>
        <w:t xml:space="preserve">    ＜3s</w:t>
      </w:r>
    </w:p>
    <w:p>
      <w:pPr>
        <w:spacing w:line="360" w:lineRule="auto"/>
        <w:rPr>
          <w:rFonts w:hint="eastAsia" w:ascii="宋体" w:hAnsi="宋体"/>
          <w:kern w:val="0"/>
          <w:szCs w:val="21"/>
        </w:rPr>
      </w:pPr>
      <w:r>
        <w:rPr>
          <w:rFonts w:hint="eastAsia" w:ascii="宋体" w:hAnsi="宋体"/>
          <w:kern w:val="0"/>
          <w:szCs w:val="21"/>
        </w:rPr>
        <w:t>*</w:t>
      </w:r>
      <w:r>
        <w:rPr>
          <w:rFonts w:hint="eastAsia"/>
          <w:szCs w:val="21"/>
        </w:rPr>
        <w:t xml:space="preserve">4. </w:t>
      </w:r>
      <w:r>
        <w:rPr>
          <w:rFonts w:hint="eastAsia" w:ascii="宋体" w:hAnsi="宋体"/>
          <w:kern w:val="0"/>
          <w:szCs w:val="21"/>
        </w:rPr>
        <w:t>4.2 系统可靠性指标</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系统年可用率               ≥98%</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平均无故障运行时间（MTBF） ≥8760</w:t>
      </w:r>
      <w:r>
        <w:rPr>
          <w:rFonts w:ascii="宋体" w:hAnsi="宋体"/>
          <w:kern w:val="0"/>
          <w:szCs w:val="21"/>
        </w:rPr>
        <w:t>h</w:t>
      </w:r>
    </w:p>
    <w:p>
      <w:pPr>
        <w:autoSpaceDE w:val="0"/>
        <w:autoSpaceDN w:val="0"/>
        <w:adjustRightInd w:val="0"/>
        <w:spacing w:line="360" w:lineRule="auto"/>
        <w:ind w:firstLine="427"/>
        <w:jc w:val="left"/>
        <w:rPr>
          <w:rFonts w:ascii="宋体" w:hAnsi="宋体"/>
          <w:kern w:val="0"/>
          <w:szCs w:val="21"/>
        </w:rPr>
      </w:pPr>
      <w:r>
        <w:rPr>
          <w:rFonts w:ascii="宋体" w:hAnsi="宋体"/>
          <w:kern w:val="0"/>
          <w:szCs w:val="21"/>
        </w:rPr>
        <w:t>CPU</w:t>
      </w:r>
      <w:r>
        <w:rPr>
          <w:rFonts w:hint="eastAsia" w:ascii="宋体" w:hAnsi="宋体"/>
          <w:kern w:val="0"/>
          <w:szCs w:val="21"/>
        </w:rPr>
        <w:t>负载率：</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电网正常时任意</w:t>
      </w:r>
      <w:r>
        <w:rPr>
          <w:rFonts w:ascii="宋体" w:hAnsi="宋体"/>
          <w:kern w:val="0"/>
          <w:szCs w:val="21"/>
        </w:rPr>
        <w:t>30</w:t>
      </w:r>
      <w:r>
        <w:rPr>
          <w:rFonts w:hint="eastAsia" w:ascii="宋体" w:hAnsi="宋体"/>
          <w:kern w:val="0"/>
          <w:szCs w:val="21"/>
        </w:rPr>
        <w:t>分钟内平均 ＜</w:t>
      </w:r>
      <w:r>
        <w:rPr>
          <w:rFonts w:ascii="宋体" w:hAnsi="宋体"/>
          <w:kern w:val="0"/>
          <w:szCs w:val="21"/>
        </w:rPr>
        <w:t>30%</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 xml:space="preserve">电网事故时60秒内  </w:t>
      </w:r>
      <w:r>
        <w:rPr>
          <w:rFonts w:hint="eastAsia" w:ascii="宋体" w:hAnsi="宋体"/>
          <w:kern w:val="0"/>
          <w:szCs w:val="21"/>
        </w:rPr>
        <w:tab/>
      </w:r>
      <w:r>
        <w:rPr>
          <w:rFonts w:hint="eastAsia" w:ascii="宋体" w:hAnsi="宋体"/>
          <w:kern w:val="0"/>
          <w:szCs w:val="21"/>
        </w:rPr>
        <w:tab/>
      </w:r>
      <w:r>
        <w:rPr>
          <w:rFonts w:hint="eastAsia" w:ascii="宋体" w:hAnsi="宋体"/>
          <w:kern w:val="0"/>
          <w:szCs w:val="21"/>
        </w:rPr>
        <w:t xml:space="preserve">   ＜50%</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局域网（LAN）负荷（100M网速）：</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在正常状况下（任意5分钟）</w:t>
      </w:r>
      <w:r>
        <w:rPr>
          <w:rFonts w:hint="eastAsia" w:ascii="宋体" w:hAnsi="宋体"/>
          <w:kern w:val="0"/>
          <w:szCs w:val="21"/>
        </w:rPr>
        <w:tab/>
      </w:r>
      <w:r>
        <w:rPr>
          <w:rFonts w:hint="eastAsia" w:ascii="宋体" w:hAnsi="宋体"/>
          <w:kern w:val="0"/>
          <w:szCs w:val="21"/>
        </w:rPr>
        <w:t>＜10%</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电网事故状态下（任意10秒）</w:t>
      </w:r>
      <w:r>
        <w:rPr>
          <w:rFonts w:hint="eastAsia" w:ascii="宋体" w:hAnsi="宋体"/>
          <w:kern w:val="0"/>
          <w:szCs w:val="21"/>
        </w:rPr>
        <w:tab/>
      </w:r>
      <w:r>
        <w:rPr>
          <w:rFonts w:hint="eastAsia" w:ascii="宋体" w:hAnsi="宋体"/>
          <w:kern w:val="0"/>
          <w:szCs w:val="21"/>
        </w:rPr>
        <w:t>＜35%</w:t>
      </w:r>
    </w:p>
    <w:p>
      <w:pPr>
        <w:spacing w:line="360" w:lineRule="auto"/>
        <w:rPr>
          <w:rFonts w:hint="eastAsia" w:ascii="宋体" w:hAnsi="宋体"/>
          <w:kern w:val="0"/>
          <w:szCs w:val="21"/>
        </w:rPr>
      </w:pPr>
      <w:r>
        <w:rPr>
          <w:rFonts w:hint="eastAsia" w:ascii="宋体" w:hAnsi="宋体"/>
          <w:kern w:val="0"/>
          <w:szCs w:val="21"/>
        </w:rPr>
        <w:t>*</w:t>
      </w:r>
      <w:r>
        <w:rPr>
          <w:rFonts w:hint="eastAsia"/>
          <w:szCs w:val="21"/>
        </w:rPr>
        <w:t xml:space="preserve">4. </w:t>
      </w:r>
      <w:r>
        <w:rPr>
          <w:rFonts w:hint="eastAsia" w:ascii="宋体" w:hAnsi="宋体"/>
          <w:kern w:val="0"/>
          <w:szCs w:val="21"/>
        </w:rPr>
        <w:t>4.3 配合服务器CL2000电参数采集分析系统软件达到以下指标</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系统抄表准确率：100%</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系统一次抄收成功率：&gt;95%</w:t>
      </w:r>
    </w:p>
    <w:p>
      <w:pPr>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计量准确等级不小于0.5级</w:t>
      </w:r>
    </w:p>
    <w:p>
      <w:pPr>
        <w:tabs>
          <w:tab w:val="left" w:pos="3570"/>
        </w:tabs>
        <w:autoSpaceDE w:val="0"/>
        <w:autoSpaceDN w:val="0"/>
        <w:adjustRightInd w:val="0"/>
        <w:spacing w:line="360" w:lineRule="auto"/>
        <w:ind w:firstLine="427"/>
        <w:jc w:val="left"/>
        <w:rPr>
          <w:rFonts w:ascii="宋体" w:hAnsi="宋体"/>
          <w:kern w:val="0"/>
          <w:szCs w:val="21"/>
        </w:rPr>
      </w:pPr>
      <w:r>
        <w:rPr>
          <w:rFonts w:hint="eastAsia" w:ascii="宋体" w:hAnsi="宋体"/>
          <w:kern w:val="0"/>
          <w:szCs w:val="21"/>
        </w:rPr>
        <w:t>系统故障率：&lt;2工作日</w:t>
      </w:r>
      <w:r>
        <w:rPr>
          <w:rFonts w:ascii="宋体" w:hAnsi="宋体"/>
          <w:kern w:val="0"/>
          <w:szCs w:val="21"/>
        </w:rPr>
        <w:tab/>
      </w:r>
    </w:p>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现场采集数据满足使用单位现场环境要求</w:t>
      </w:r>
    </w:p>
    <w:p>
      <w:pPr>
        <w:autoSpaceDE w:val="0"/>
        <w:autoSpaceDN w:val="0"/>
        <w:adjustRightInd w:val="0"/>
        <w:spacing w:line="360" w:lineRule="auto"/>
        <w:ind w:firstLine="427"/>
        <w:jc w:val="left"/>
        <w:rPr>
          <w:rFonts w:hint="eastAsia" w:ascii="宋体" w:hAnsi="宋体"/>
          <w:kern w:val="0"/>
          <w:szCs w:val="21"/>
        </w:rPr>
      </w:pPr>
      <w:r>
        <w:rPr>
          <w:rFonts w:hint="eastAsia" w:ascii="宋体" w:hAnsi="宋体"/>
          <w:kern w:val="0"/>
          <w:szCs w:val="21"/>
        </w:rPr>
        <w:t>系统整机功耗≤20W</w:t>
      </w:r>
    </w:p>
    <w:p>
      <w:pPr>
        <w:spacing w:line="360" w:lineRule="auto"/>
        <w:rPr>
          <w:rFonts w:hint="eastAsia" w:ascii="宋体" w:hAnsi="宋体"/>
          <w:kern w:val="0"/>
          <w:szCs w:val="21"/>
        </w:rPr>
      </w:pPr>
      <w:r>
        <w:rPr>
          <w:rFonts w:hint="eastAsia" w:ascii="宋体" w:hAnsi="宋体"/>
          <w:kern w:val="0"/>
          <w:szCs w:val="21"/>
        </w:rPr>
        <w:t>*</w:t>
      </w:r>
      <w:r>
        <w:rPr>
          <w:rFonts w:hint="eastAsia"/>
          <w:szCs w:val="21"/>
        </w:rPr>
        <w:t xml:space="preserve">4. </w:t>
      </w:r>
      <w:r>
        <w:rPr>
          <w:rFonts w:hint="eastAsia" w:ascii="宋体" w:hAnsi="宋体"/>
          <w:kern w:val="0"/>
          <w:szCs w:val="21"/>
        </w:rPr>
        <w:t>5 系统安装与调试</w:t>
      </w:r>
    </w:p>
    <w:p>
      <w:pPr>
        <w:spacing w:line="360" w:lineRule="auto"/>
        <w:ind w:firstLine="444" w:firstLineChars="202"/>
        <w:rPr>
          <w:rFonts w:hint="eastAsia" w:ascii="宋体" w:hAnsi="宋体"/>
          <w:kern w:val="0"/>
          <w:szCs w:val="21"/>
        </w:rPr>
      </w:pPr>
      <w:r>
        <w:rPr>
          <w:rFonts w:hint="eastAsia" w:ascii="宋体" w:hAnsi="宋体"/>
          <w:kern w:val="0"/>
          <w:szCs w:val="21"/>
        </w:rPr>
        <w:t>供货商指派有经验的的工程师到现场</w:t>
      </w:r>
      <w:r>
        <w:rPr>
          <w:rFonts w:hint="eastAsia" w:ascii="宋体" w:hAnsi="宋体"/>
          <w:kern w:val="0"/>
          <w:szCs w:val="21"/>
          <w:lang w:val="en-US" w:eastAsia="zh-CN"/>
        </w:rPr>
        <w:t>指导</w:t>
      </w:r>
      <w:r>
        <w:rPr>
          <w:rFonts w:hint="eastAsia" w:ascii="宋体" w:hAnsi="宋体"/>
          <w:kern w:val="0"/>
          <w:szCs w:val="21"/>
        </w:rPr>
        <w:t>安装，电工工种需持证上岗。</w:t>
      </w:r>
    </w:p>
    <w:p>
      <w:pPr>
        <w:spacing w:line="360" w:lineRule="auto"/>
        <w:ind w:firstLine="444" w:firstLineChars="202"/>
        <w:rPr>
          <w:rFonts w:hint="eastAsia" w:ascii="宋体" w:hAnsi="宋体"/>
          <w:kern w:val="0"/>
          <w:szCs w:val="21"/>
        </w:rPr>
      </w:pPr>
      <w:r>
        <w:rPr>
          <w:rFonts w:hint="eastAsia" w:ascii="宋体" w:hAnsi="宋体"/>
          <w:kern w:val="0"/>
          <w:szCs w:val="21"/>
        </w:rPr>
        <w:t>供货商负责系统软件组态、无线信号调试标准化作业。</w:t>
      </w:r>
    </w:p>
    <w:p>
      <w:pPr>
        <w:spacing w:line="360" w:lineRule="auto"/>
        <w:rPr>
          <w:rFonts w:hint="eastAsia" w:ascii="宋体" w:hAnsi="宋体"/>
          <w:kern w:val="0"/>
          <w:szCs w:val="21"/>
        </w:rPr>
      </w:pPr>
      <w:r>
        <w:rPr>
          <w:rFonts w:hint="eastAsia"/>
          <w:szCs w:val="21"/>
        </w:rPr>
        <w:t xml:space="preserve">4. </w:t>
      </w:r>
      <w:r>
        <w:rPr>
          <w:rFonts w:hint="eastAsia" w:ascii="宋体" w:hAnsi="宋体"/>
          <w:kern w:val="0"/>
          <w:szCs w:val="21"/>
        </w:rPr>
        <w:t>6 系统检验与验收</w:t>
      </w:r>
    </w:p>
    <w:p>
      <w:pPr>
        <w:spacing w:line="360" w:lineRule="auto"/>
        <w:ind w:firstLine="420"/>
        <w:rPr>
          <w:rFonts w:hint="eastAsia" w:ascii="宋体" w:hAnsi="宋体"/>
          <w:kern w:val="0"/>
          <w:szCs w:val="21"/>
        </w:rPr>
      </w:pPr>
      <w:r>
        <w:rPr>
          <w:rFonts w:hint="eastAsia" w:ascii="宋体" w:hAnsi="宋体"/>
          <w:kern w:val="0"/>
          <w:szCs w:val="21"/>
        </w:rPr>
        <w:t>系统通过单品测试试验后，签订供货合同，供货后进行与主站系统配套性的检验与验收。</w:t>
      </w:r>
    </w:p>
    <w:p>
      <w:pPr>
        <w:spacing w:line="360" w:lineRule="auto"/>
        <w:ind w:firstLine="420"/>
        <w:rPr>
          <w:rFonts w:hint="eastAsia" w:ascii="宋体" w:hAnsi="宋体"/>
          <w:kern w:val="0"/>
          <w:szCs w:val="21"/>
        </w:rPr>
      </w:pPr>
      <w:r>
        <w:rPr>
          <w:rFonts w:hint="eastAsia" w:ascii="宋体" w:hAnsi="宋体"/>
          <w:kern w:val="0"/>
          <w:szCs w:val="21"/>
        </w:rPr>
        <w:t>通过本规格书规定的各项技术指标测试合格作为验收通过的标准。</w:t>
      </w:r>
    </w:p>
    <w:p>
      <w:pPr>
        <w:spacing w:line="360" w:lineRule="auto"/>
        <w:ind w:firstLine="420"/>
        <w:rPr>
          <w:rFonts w:hint="eastAsia" w:ascii="宋体" w:hAnsi="宋体"/>
          <w:kern w:val="0"/>
          <w:szCs w:val="21"/>
        </w:rPr>
      </w:pPr>
      <w:r>
        <w:rPr>
          <w:rFonts w:hint="eastAsia" w:ascii="宋体" w:hAnsi="宋体"/>
          <w:kern w:val="0"/>
          <w:szCs w:val="21"/>
        </w:rPr>
        <w:t>供货商需提供：</w:t>
      </w:r>
    </w:p>
    <w:p>
      <w:pPr>
        <w:spacing w:line="360" w:lineRule="auto"/>
        <w:ind w:firstLine="420"/>
        <w:rPr>
          <w:rFonts w:hint="eastAsia" w:ascii="宋体" w:hAnsi="宋体"/>
          <w:kern w:val="0"/>
          <w:szCs w:val="21"/>
        </w:rPr>
      </w:pPr>
      <w:r>
        <w:rPr>
          <w:rFonts w:hint="eastAsia" w:ascii="宋体" w:hAnsi="宋体"/>
          <w:kern w:val="0"/>
          <w:szCs w:val="21"/>
        </w:rPr>
        <w:t>出厂检验报告</w:t>
      </w:r>
    </w:p>
    <w:p>
      <w:pPr>
        <w:spacing w:line="360" w:lineRule="auto"/>
        <w:ind w:firstLine="420"/>
        <w:rPr>
          <w:rFonts w:hint="eastAsia" w:ascii="宋体" w:hAnsi="宋体"/>
          <w:kern w:val="0"/>
          <w:szCs w:val="21"/>
        </w:rPr>
      </w:pPr>
      <w:r>
        <w:rPr>
          <w:rFonts w:hint="eastAsia" w:ascii="宋体" w:hAnsi="宋体"/>
          <w:kern w:val="0"/>
          <w:szCs w:val="21"/>
        </w:rPr>
        <w:t>合格证</w:t>
      </w:r>
    </w:p>
    <w:p>
      <w:pPr>
        <w:spacing w:line="360" w:lineRule="auto"/>
        <w:ind w:firstLine="420"/>
        <w:rPr>
          <w:rFonts w:hint="eastAsia" w:ascii="宋体" w:hAnsi="宋体"/>
          <w:kern w:val="0"/>
          <w:szCs w:val="21"/>
        </w:rPr>
      </w:pPr>
      <w:r>
        <w:rPr>
          <w:rFonts w:hint="eastAsia" w:ascii="宋体" w:hAnsi="宋体"/>
          <w:kern w:val="0"/>
          <w:szCs w:val="21"/>
        </w:rPr>
        <w:t>说明书</w:t>
      </w:r>
    </w:p>
    <w:p>
      <w:pPr>
        <w:spacing w:line="360" w:lineRule="auto"/>
        <w:rPr>
          <w:rFonts w:hint="eastAsia" w:ascii="宋体" w:hAnsi="宋体"/>
          <w:kern w:val="0"/>
          <w:szCs w:val="21"/>
        </w:rPr>
      </w:pPr>
      <w:r>
        <w:rPr>
          <w:rFonts w:hint="eastAsia"/>
          <w:szCs w:val="21"/>
        </w:rPr>
        <w:t xml:space="preserve">4. </w:t>
      </w:r>
      <w:r>
        <w:rPr>
          <w:rFonts w:hint="eastAsia" w:ascii="宋体" w:hAnsi="宋体"/>
          <w:kern w:val="0"/>
          <w:szCs w:val="21"/>
        </w:rPr>
        <w:t>7 保证和担保</w:t>
      </w:r>
    </w:p>
    <w:p>
      <w:pPr>
        <w:spacing w:line="360" w:lineRule="auto"/>
        <w:rPr>
          <w:rFonts w:ascii="宋体" w:hAnsi="宋体"/>
          <w:kern w:val="0"/>
          <w:szCs w:val="21"/>
        </w:rPr>
      </w:pPr>
      <w:r>
        <w:rPr>
          <w:rFonts w:hint="eastAsia"/>
          <w:szCs w:val="21"/>
        </w:rPr>
        <w:t xml:space="preserve">4. </w:t>
      </w:r>
      <w:r>
        <w:rPr>
          <w:rFonts w:hint="eastAsia" w:ascii="宋体" w:hAnsi="宋体"/>
          <w:kern w:val="0"/>
          <w:szCs w:val="21"/>
        </w:rPr>
        <w:t>7.1供货商应保证数据采集传输远动监测系统及配套设备的设计满足技术规格书的要求，对所提供的设备负全面技术责任。系统因设计、制造不良而发生损坏或不能正常工作时，供货商应免费更换或修理。</w:t>
      </w:r>
    </w:p>
    <w:p>
      <w:pPr>
        <w:spacing w:line="360" w:lineRule="auto"/>
        <w:rPr>
          <w:rFonts w:ascii="宋体" w:hAnsi="宋体"/>
          <w:kern w:val="0"/>
          <w:szCs w:val="21"/>
        </w:rPr>
      </w:pPr>
      <w:bookmarkStart w:id="35" w:name="_Toc425580769"/>
      <w:r>
        <w:rPr>
          <w:rFonts w:hint="eastAsia"/>
          <w:szCs w:val="21"/>
        </w:rPr>
        <w:t xml:space="preserve">4. </w:t>
      </w:r>
      <w:r>
        <w:rPr>
          <w:rFonts w:hint="eastAsia" w:ascii="宋体" w:hAnsi="宋体"/>
          <w:kern w:val="0"/>
          <w:szCs w:val="21"/>
        </w:rPr>
        <w:t>7.2 质量保修期为12个月，期外提供终身技术支持。</w:t>
      </w:r>
      <w:bookmarkEnd w:id="35"/>
    </w:p>
    <w:p>
      <w:pPr>
        <w:spacing w:line="360" w:lineRule="auto"/>
        <w:rPr>
          <w:rFonts w:ascii="宋体" w:hAnsi="宋体"/>
          <w:kern w:val="0"/>
          <w:szCs w:val="21"/>
        </w:rPr>
      </w:pPr>
      <w:r>
        <w:rPr>
          <w:rFonts w:hint="eastAsia"/>
          <w:szCs w:val="21"/>
        </w:rPr>
        <w:t xml:space="preserve">4. </w:t>
      </w:r>
      <w:r>
        <w:rPr>
          <w:rFonts w:hint="eastAsia" w:ascii="宋体" w:hAnsi="宋体"/>
          <w:kern w:val="0"/>
          <w:szCs w:val="21"/>
        </w:rPr>
        <w:t>7.3供货商应保证在设备寿命期内备件及部件的更换和提供有可靠的供货渠道,满足需方的维护需要。</w:t>
      </w:r>
    </w:p>
    <w:p>
      <w:pPr>
        <w:spacing w:line="360" w:lineRule="auto"/>
        <w:rPr>
          <w:rFonts w:hint="eastAsia" w:ascii="宋体" w:hAnsi="宋体"/>
          <w:kern w:val="0"/>
          <w:szCs w:val="21"/>
        </w:rPr>
      </w:pPr>
      <w:bookmarkStart w:id="36" w:name="_Toc425580770"/>
      <w:r>
        <w:rPr>
          <w:rFonts w:hint="eastAsia"/>
          <w:szCs w:val="21"/>
        </w:rPr>
        <w:t xml:space="preserve">4. </w:t>
      </w:r>
      <w:r>
        <w:rPr>
          <w:rFonts w:hint="eastAsia" w:ascii="宋体" w:hAnsi="宋体"/>
          <w:kern w:val="0"/>
          <w:szCs w:val="21"/>
        </w:rPr>
        <w:t>7.4 供货商应保证设备维修或更换部件响应时间在4小时内。</w:t>
      </w:r>
      <w:bookmarkEnd w:id="36"/>
    </w:p>
    <w:p>
      <w:pPr>
        <w:spacing w:line="360" w:lineRule="auto"/>
        <w:rPr>
          <w:rFonts w:hint="eastAsia" w:ascii="宋体" w:hAnsi="宋体"/>
          <w:kern w:val="0"/>
          <w:szCs w:val="21"/>
        </w:rPr>
      </w:pPr>
      <w:r>
        <w:rPr>
          <w:rFonts w:hint="eastAsia"/>
          <w:szCs w:val="21"/>
        </w:rPr>
        <w:t xml:space="preserve">4. </w:t>
      </w:r>
      <w:r>
        <w:rPr>
          <w:rFonts w:hint="eastAsia" w:ascii="宋体" w:hAnsi="宋体"/>
          <w:kern w:val="0"/>
          <w:szCs w:val="21"/>
        </w:rPr>
        <w:t>8 标志、包装运输及存储</w:t>
      </w:r>
    </w:p>
    <w:p>
      <w:pPr>
        <w:spacing w:line="360" w:lineRule="auto"/>
        <w:rPr>
          <w:rFonts w:hint="eastAsia" w:ascii="宋体" w:hAnsi="宋体"/>
          <w:kern w:val="0"/>
          <w:szCs w:val="21"/>
        </w:rPr>
      </w:pPr>
      <w:r>
        <w:rPr>
          <w:rFonts w:hint="eastAsia"/>
          <w:szCs w:val="21"/>
        </w:rPr>
        <w:t xml:space="preserve">4. </w:t>
      </w:r>
      <w:r>
        <w:rPr>
          <w:rFonts w:hint="eastAsia" w:ascii="宋体" w:hAnsi="宋体"/>
          <w:kern w:val="0"/>
          <w:szCs w:val="21"/>
        </w:rPr>
        <w:t>8.1 标志</w:t>
      </w:r>
    </w:p>
    <w:p>
      <w:pPr>
        <w:spacing w:line="360" w:lineRule="auto"/>
        <w:ind w:firstLine="444" w:firstLineChars="202"/>
        <w:rPr>
          <w:rFonts w:hint="eastAsia" w:ascii="宋体" w:hAnsi="宋体"/>
          <w:kern w:val="0"/>
          <w:szCs w:val="21"/>
        </w:rPr>
      </w:pPr>
      <w:r>
        <w:rPr>
          <w:rFonts w:hint="eastAsia" w:ascii="宋体" w:hAnsi="宋体"/>
          <w:kern w:val="0"/>
          <w:szCs w:val="21"/>
        </w:rPr>
        <w:t>系统需外置铭牌作为标志</w:t>
      </w:r>
    </w:p>
    <w:p>
      <w:pPr>
        <w:spacing w:line="360" w:lineRule="auto"/>
        <w:ind w:firstLine="444" w:firstLineChars="202"/>
        <w:rPr>
          <w:rFonts w:hint="eastAsia" w:ascii="宋体" w:hAnsi="宋体" w:cs="Arial"/>
          <w:color w:val="000000"/>
          <w:szCs w:val="21"/>
        </w:rPr>
      </w:pPr>
      <w:r>
        <w:rPr>
          <w:rFonts w:hint="eastAsia" w:ascii="宋体" w:hAnsi="宋体"/>
          <w:kern w:val="0"/>
          <w:szCs w:val="21"/>
        </w:rPr>
        <w:t>铭牌包括：</w:t>
      </w:r>
      <w:r>
        <w:rPr>
          <w:rFonts w:hint="eastAsia" w:ascii="宋体" w:hAnsi="宋体" w:cs="Arial"/>
          <w:color w:val="000000"/>
          <w:szCs w:val="21"/>
        </w:rPr>
        <w:t>系统名称、型号、执行标准</w:t>
      </w:r>
      <w:r>
        <w:rPr>
          <w:rFonts w:hint="eastAsia" w:ascii="宋体" w:hAnsi="宋体"/>
          <w:kern w:val="0"/>
          <w:szCs w:val="21"/>
        </w:rPr>
        <w:t>、</w:t>
      </w:r>
      <w:r>
        <w:rPr>
          <w:rFonts w:hint="eastAsia" w:ascii="宋体" w:hAnsi="宋体" w:cs="Arial"/>
          <w:color w:val="000000"/>
          <w:szCs w:val="21"/>
        </w:rPr>
        <w:t>出厂日期</w:t>
      </w:r>
      <w:r>
        <w:rPr>
          <w:rFonts w:hint="eastAsia" w:ascii="宋体" w:hAnsi="宋体"/>
          <w:kern w:val="0"/>
          <w:szCs w:val="21"/>
        </w:rPr>
        <w:t>、</w:t>
      </w:r>
      <w:r>
        <w:rPr>
          <w:rFonts w:hint="eastAsia" w:ascii="宋体" w:hAnsi="宋体" w:cs="Arial"/>
          <w:color w:val="000000"/>
          <w:szCs w:val="21"/>
        </w:rPr>
        <w:t>出厂编号</w:t>
      </w:r>
      <w:r>
        <w:rPr>
          <w:rFonts w:hint="eastAsia" w:ascii="宋体" w:hAnsi="宋体"/>
          <w:kern w:val="0"/>
          <w:szCs w:val="21"/>
        </w:rPr>
        <w:t>、</w:t>
      </w:r>
      <w:r>
        <w:rPr>
          <w:rFonts w:hint="eastAsia" w:ascii="宋体" w:hAnsi="宋体" w:cs="Arial"/>
          <w:color w:val="000000"/>
          <w:szCs w:val="21"/>
        </w:rPr>
        <w:t>生产厂家名称</w:t>
      </w:r>
      <w:r>
        <w:rPr>
          <w:rFonts w:hint="eastAsia" w:ascii="宋体" w:hAnsi="宋体"/>
          <w:kern w:val="0"/>
          <w:szCs w:val="21"/>
        </w:rPr>
        <w:t>、</w:t>
      </w:r>
      <w:r>
        <w:rPr>
          <w:rFonts w:hint="eastAsia" w:ascii="宋体" w:hAnsi="宋体" w:cs="Arial"/>
          <w:color w:val="000000"/>
          <w:szCs w:val="21"/>
        </w:rPr>
        <w:t>联系方法等。</w:t>
      </w:r>
    </w:p>
    <w:p>
      <w:pPr>
        <w:spacing w:line="360" w:lineRule="auto"/>
        <w:rPr>
          <w:rFonts w:hint="eastAsia" w:ascii="宋体" w:hAnsi="宋体" w:cs="Arial"/>
          <w:color w:val="000000"/>
          <w:szCs w:val="21"/>
        </w:rPr>
      </w:pPr>
      <w:r>
        <w:rPr>
          <w:rFonts w:hint="eastAsia"/>
          <w:szCs w:val="21"/>
        </w:rPr>
        <w:t xml:space="preserve">4. </w:t>
      </w:r>
      <w:r>
        <w:rPr>
          <w:rFonts w:hint="eastAsia" w:ascii="宋体" w:hAnsi="宋体" w:cs="Arial"/>
          <w:color w:val="000000"/>
          <w:szCs w:val="21"/>
        </w:rPr>
        <w:t>8.2 包装、存储和运输</w:t>
      </w:r>
    </w:p>
    <w:p>
      <w:pPr>
        <w:spacing w:line="360" w:lineRule="auto"/>
        <w:ind w:firstLine="440" w:firstLineChars="200"/>
        <w:rPr>
          <w:rFonts w:hint="eastAsia" w:ascii="宋体" w:hAnsi="宋体" w:cs="Arial"/>
          <w:szCs w:val="21"/>
        </w:rPr>
      </w:pPr>
      <w:r>
        <w:rPr>
          <w:rFonts w:hint="eastAsia" w:ascii="宋体" w:hAnsi="宋体"/>
          <w:kern w:val="0"/>
          <w:szCs w:val="21"/>
        </w:rPr>
        <w:t>供货商</w:t>
      </w:r>
      <w:r>
        <w:rPr>
          <w:rFonts w:hint="eastAsia" w:ascii="宋体" w:hAnsi="宋体" w:cs="Arial"/>
          <w:szCs w:val="21"/>
        </w:rPr>
        <w:t>负责提供所有和合系统相关的包装，保证设备免受潮湿、生锈，雨淋和振动。保证包装能承受大批量搬运和装卸以及长距离陆运运输。保证设备安全抵达用户现场而无损坏。</w:t>
      </w:r>
    </w:p>
    <w:p>
      <w:pPr>
        <w:spacing w:line="360" w:lineRule="auto"/>
        <w:ind w:firstLine="440" w:firstLineChars="200"/>
        <w:rPr>
          <w:rFonts w:hint="eastAsia" w:ascii="宋体" w:hAnsi="宋体" w:cs="Arial"/>
          <w:szCs w:val="21"/>
        </w:rPr>
      </w:pPr>
      <w:r>
        <w:rPr>
          <w:rFonts w:hint="eastAsia" w:ascii="宋体" w:hAnsi="宋体" w:cs="Arial"/>
          <w:szCs w:val="21"/>
        </w:rPr>
        <w:t>所有设备包装便于装卸、转运和现场安装。</w:t>
      </w:r>
    </w:p>
    <w:p>
      <w:pPr>
        <w:spacing w:line="360" w:lineRule="auto"/>
        <w:ind w:firstLine="440" w:firstLineChars="200"/>
        <w:rPr>
          <w:rFonts w:hint="eastAsia" w:ascii="宋体" w:hAnsi="宋体"/>
          <w:kern w:val="0"/>
          <w:szCs w:val="21"/>
        </w:rPr>
      </w:pPr>
      <w:r>
        <w:rPr>
          <w:rFonts w:hint="eastAsia" w:ascii="宋体" w:hAnsi="宋体"/>
          <w:kern w:val="0"/>
          <w:szCs w:val="21"/>
        </w:rPr>
        <w:t>在运输和存储期间，设备的电气绝缘防止受潮和灰尘进入。</w:t>
      </w:r>
    </w:p>
    <w:p>
      <w:pPr>
        <w:spacing w:line="360" w:lineRule="auto"/>
        <w:ind w:firstLine="440" w:firstLineChars="200"/>
        <w:rPr>
          <w:rFonts w:hint="eastAsia" w:ascii="宋体" w:hAnsi="宋体"/>
          <w:kern w:val="0"/>
          <w:szCs w:val="21"/>
          <w:lang w:val="en-US" w:eastAsia="zh-CN"/>
        </w:rPr>
      </w:pPr>
      <w:r>
        <w:rPr>
          <w:rFonts w:hint="eastAsia" w:ascii="宋体" w:hAnsi="宋体"/>
          <w:kern w:val="0"/>
          <w:szCs w:val="21"/>
        </w:rPr>
        <w:t>供货商负责组织设备通过汽运运输方式安全运到合同指定的交货地点。系统在运输过程中无严重震动、颠簸和冲击现象。</w:t>
      </w:r>
    </w:p>
    <w:p>
      <w:pPr>
        <w:spacing w:line="360" w:lineRule="auto"/>
        <w:ind w:firstLine="440" w:firstLineChars="200"/>
        <w:rPr>
          <w:rFonts w:hint="eastAsia" w:ascii="宋体" w:hAnsi="宋体"/>
          <w:kern w:val="0"/>
          <w:szCs w:val="21"/>
        </w:rPr>
      </w:pPr>
    </w:p>
    <w:p>
      <w:pPr>
        <w:spacing w:line="288" w:lineRule="auto"/>
        <w:ind w:firstLine="420" w:firstLineChars="200"/>
        <w:rPr>
          <w:rFonts w:hint="eastAsia" w:ascii="宋体" w:hAnsi="宋体" w:cs="宋体"/>
          <w:sz w:val="21"/>
          <w:szCs w:val="21"/>
        </w:rPr>
      </w:pPr>
    </w:p>
    <w:p>
      <w:pPr>
        <w:spacing w:line="288" w:lineRule="auto"/>
        <w:ind w:firstLine="420" w:firstLineChars="200"/>
        <w:rPr>
          <w:rFonts w:hint="eastAsia" w:ascii="宋体" w:hAnsi="宋体" w:cs="宋体"/>
          <w:sz w:val="21"/>
          <w:szCs w:val="21"/>
        </w:rPr>
      </w:pPr>
    </w:p>
    <w:p>
      <w:pPr>
        <w:spacing w:line="288" w:lineRule="auto"/>
        <w:ind w:firstLine="420" w:firstLineChars="200"/>
        <w:rPr>
          <w:rFonts w:hint="eastAsia" w:ascii="宋体" w:hAnsi="宋体" w:cs="宋体"/>
          <w:sz w:val="21"/>
          <w:szCs w:val="21"/>
        </w:rPr>
      </w:pPr>
    </w:p>
    <w:p>
      <w:pPr>
        <w:spacing w:line="288" w:lineRule="auto"/>
        <w:ind w:firstLine="420" w:firstLineChars="200"/>
        <w:rPr>
          <w:rFonts w:hint="eastAsia" w:ascii="宋体" w:hAnsi="宋体" w:cs="宋体"/>
          <w:sz w:val="21"/>
          <w:szCs w:val="21"/>
        </w:rPr>
      </w:pPr>
    </w:p>
    <w:p>
      <w:pPr>
        <w:spacing w:line="288" w:lineRule="auto"/>
        <w:ind w:firstLine="420" w:firstLineChars="200"/>
        <w:rPr>
          <w:rFonts w:hint="eastAsia" w:ascii="宋体" w:hAnsi="宋体" w:cs="宋体"/>
          <w:sz w:val="21"/>
          <w:szCs w:val="21"/>
        </w:rPr>
      </w:pPr>
    </w:p>
    <w:p>
      <w:pPr>
        <w:spacing w:line="288" w:lineRule="auto"/>
        <w:ind w:firstLine="420" w:firstLineChars="200"/>
        <w:rPr>
          <w:rFonts w:hint="eastAsia" w:ascii="宋体" w:hAnsi="宋体" w:cs="宋体"/>
          <w:sz w:val="21"/>
          <w:szCs w:val="21"/>
        </w:rPr>
      </w:pPr>
    </w:p>
    <w:p>
      <w:pPr>
        <w:spacing w:line="288" w:lineRule="auto"/>
        <w:ind w:firstLine="420" w:firstLineChars="200"/>
        <w:rPr>
          <w:rFonts w:hint="eastAsia" w:ascii="宋体" w:hAnsi="宋体" w:cs="宋体"/>
          <w:sz w:val="21"/>
          <w:szCs w:val="21"/>
        </w:rPr>
      </w:pPr>
    </w:p>
    <w:p>
      <w:pPr>
        <w:spacing w:line="288" w:lineRule="auto"/>
        <w:rPr>
          <w:rFonts w:hint="eastAsia" w:hAnsi="宋体" w:cs="宋体"/>
          <w:szCs w:val="21"/>
        </w:rPr>
      </w:pPr>
      <w:r>
        <w:rPr>
          <w:rFonts w:hint="eastAsia" w:hAnsi="宋体" w:cs="宋体"/>
          <w:szCs w:val="21"/>
        </w:rPr>
        <w:t xml:space="preserve">        </w:t>
      </w:r>
    </w:p>
    <w:p>
      <w:pPr>
        <w:spacing w:line="288" w:lineRule="auto"/>
        <w:outlineLvl w:val="2"/>
        <w:rPr>
          <w:rFonts w:hint="eastAsia" w:ascii="黑体" w:hAnsi="宋体" w:eastAsia="黑体"/>
          <w:bCs/>
          <w:spacing w:val="-6"/>
          <w:kern w:val="2"/>
          <w:sz w:val="28"/>
          <w:szCs w:val="28"/>
        </w:rPr>
      </w:pPr>
      <w:r>
        <w:rPr>
          <w:rFonts w:hint="eastAsia" w:hAnsi="宋体" w:cs="宋体"/>
          <w:szCs w:val="21"/>
        </w:rPr>
        <w:br w:type="page"/>
      </w:r>
      <w:bookmarkStart w:id="37" w:name="_Toc8771"/>
      <w:bookmarkStart w:id="38" w:name="_Toc15481775"/>
      <w:r>
        <w:rPr>
          <w:rFonts w:hint="eastAsia" w:ascii="黑体" w:hAnsi="宋体" w:eastAsia="黑体"/>
          <w:bCs/>
          <w:kern w:val="2"/>
          <w:sz w:val="28"/>
          <w:szCs w:val="28"/>
        </w:rPr>
        <w:t>附件</w:t>
      </w:r>
      <w:r>
        <w:rPr>
          <w:rFonts w:hint="eastAsia" w:ascii="黑体" w:hAnsi="宋体" w:eastAsia="黑体"/>
          <w:bCs/>
          <w:kern w:val="2"/>
          <w:sz w:val="28"/>
          <w:szCs w:val="28"/>
          <w:lang w:val="en-US" w:eastAsia="zh-CN"/>
        </w:rPr>
        <w:t>3</w:t>
      </w:r>
      <w:r>
        <w:rPr>
          <w:rFonts w:hint="eastAsia" w:ascii="黑体" w:hAnsi="宋体" w:eastAsia="黑体"/>
          <w:bCs/>
          <w:kern w:val="2"/>
          <w:sz w:val="28"/>
          <w:szCs w:val="28"/>
        </w:rPr>
        <w:t>：</w:t>
      </w:r>
      <w:r>
        <w:rPr>
          <w:rFonts w:hint="eastAsia" w:ascii="黑体" w:hAnsi="宋体" w:eastAsia="黑体"/>
          <w:bCs/>
          <w:spacing w:val="-6"/>
          <w:kern w:val="2"/>
          <w:sz w:val="28"/>
          <w:szCs w:val="28"/>
        </w:rPr>
        <w:t>《中国石油天然气集团有限公司投标人失信行为管理办法（试行）》</w:t>
      </w:r>
      <w:bookmarkEnd w:id="37"/>
    </w:p>
    <w:p>
      <w:pPr>
        <w:spacing w:line="288" w:lineRule="auto"/>
        <w:outlineLvl w:val="2"/>
        <w:rPr>
          <w:rFonts w:hint="eastAsia"/>
        </w:rPr>
      </w:pPr>
      <w:bookmarkStart w:id="39" w:name="_Toc26364"/>
      <w:r>
        <w:rPr>
          <w:rFonts w:hint="eastAsia" w:ascii="黑体" w:hAnsi="宋体" w:eastAsia="黑体"/>
          <w:bCs/>
          <w:kern w:val="2"/>
          <w:sz w:val="28"/>
          <w:szCs w:val="28"/>
        </w:rPr>
        <w:t>附件</w:t>
      </w:r>
      <w:r>
        <w:rPr>
          <w:rFonts w:hint="eastAsia" w:ascii="黑体" w:hAnsi="宋体" w:eastAsia="黑体"/>
          <w:bCs/>
          <w:kern w:val="2"/>
          <w:sz w:val="28"/>
          <w:szCs w:val="28"/>
          <w:lang w:val="en-US" w:eastAsia="zh-CN"/>
        </w:rPr>
        <w:t>4</w:t>
      </w:r>
      <w:r>
        <w:rPr>
          <w:rFonts w:hint="eastAsia" w:ascii="黑体" w:hAnsi="宋体" w:eastAsia="黑体"/>
          <w:bCs/>
          <w:kern w:val="2"/>
          <w:sz w:val="28"/>
          <w:szCs w:val="28"/>
        </w:rPr>
        <w:t>：投标保证金递交流程</w:t>
      </w:r>
      <w:bookmarkEnd w:id="38"/>
      <w:bookmarkEnd w:id="39"/>
    </w:p>
    <w:p>
      <w:pPr>
        <w:overflowPunct w:val="0"/>
        <w:spacing w:line="288" w:lineRule="auto"/>
        <w:ind w:firstLine="220" w:firstLineChars="100"/>
        <w:rPr>
          <w:rFonts w:hint="eastAsia" w:hAnsi="宋体"/>
        </w:rPr>
      </w:pPr>
    </w:p>
    <w:p>
      <w:pPr>
        <w:spacing w:line="288" w:lineRule="auto"/>
        <w:jc w:val="center"/>
        <w:rPr>
          <w:rFonts w:hint="eastAsia" w:ascii="宋体" w:hAnsi="宋体" w:cs="宋体"/>
          <w:b/>
          <w:sz w:val="21"/>
          <w:szCs w:val="21"/>
        </w:rPr>
      </w:pPr>
      <w:r>
        <w:rPr>
          <w:rFonts w:hint="eastAsia" w:ascii="宋体" w:hAnsi="宋体" w:cs="宋体"/>
          <w:b/>
          <w:sz w:val="21"/>
          <w:szCs w:val="21"/>
        </w:rPr>
        <w:t>投标保证金递交流程</w:t>
      </w:r>
    </w:p>
    <w:p>
      <w:pPr>
        <w:spacing w:line="288" w:lineRule="auto"/>
        <w:jc w:val="center"/>
        <w:rPr>
          <w:rFonts w:hint="eastAsia" w:ascii="宋体" w:hAnsi="宋体" w:cs="宋体"/>
          <w:b/>
          <w:sz w:val="21"/>
          <w:szCs w:val="21"/>
        </w:rPr>
      </w:pPr>
    </w:p>
    <w:p>
      <w:pPr>
        <w:spacing w:line="288" w:lineRule="auto"/>
        <w:rPr>
          <w:rFonts w:hint="eastAsia" w:ascii="宋体" w:hAnsi="宋体" w:cs="宋体"/>
          <w:color w:val="000000"/>
          <w:sz w:val="21"/>
          <w:szCs w:val="21"/>
        </w:rPr>
      </w:pPr>
      <w:r>
        <w:rPr>
          <w:rFonts w:hint="eastAsia" w:ascii="宋体" w:hAnsi="宋体" w:cs="宋体"/>
          <w:sz w:val="21"/>
          <w:szCs w:val="21"/>
        </w:rPr>
        <w:t>1、</w:t>
      </w:r>
      <w:r>
        <w:rPr>
          <w:rFonts w:hint="eastAsia" w:ascii="宋体" w:hAnsi="宋体" w:cs="宋体"/>
          <w:color w:val="000000"/>
          <w:sz w:val="21"/>
          <w:szCs w:val="21"/>
        </w:rPr>
        <w:t>从投标人基本帐户通过企业网银支付或电汇形式向昆仑银行电子招投标保证金账户汇出；</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开 户 行：昆仑银行股份有限公司大庆分行营业部</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账 户 名：昆仑银行电子招投标保证金</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银行账号：26902100171850000010</w:t>
      </w:r>
    </w:p>
    <w:p>
      <w:pPr>
        <w:spacing w:line="288" w:lineRule="auto"/>
        <w:ind w:firstLine="211" w:firstLineChars="100"/>
        <w:rPr>
          <w:rFonts w:hint="eastAsia" w:ascii="宋体" w:hAnsi="宋体" w:cs="宋体"/>
          <w:b/>
          <w:color w:val="990000"/>
          <w:sz w:val="21"/>
          <w:szCs w:val="21"/>
          <w:lang w:val="zh-CN"/>
        </w:rPr>
      </w:pPr>
      <w:r>
        <w:rPr>
          <w:rFonts w:hint="eastAsia" w:ascii="宋体" w:hAnsi="宋体" w:cs="宋体"/>
          <w:b/>
          <w:color w:val="990000"/>
          <w:sz w:val="21"/>
          <w:szCs w:val="21"/>
          <w:lang w:val="zh-CN"/>
        </w:rPr>
        <w:t>昆仑银行客服电话：4006696569</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2、查询汇款是否到账（到保证金钱包账户）</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（1）、点击进入已报名项目主控台</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9525</wp:posOffset>
                </wp:positionV>
                <wp:extent cx="497840" cy="354965"/>
                <wp:effectExtent l="12700" t="12700" r="22860" b="13335"/>
                <wp:wrapNone/>
                <wp:docPr id="12" name="椭圆 12"/>
                <wp:cNvGraphicFramePr/>
                <a:graphic xmlns:a="http://schemas.openxmlformats.org/drawingml/2006/main">
                  <a:graphicData uri="http://schemas.microsoft.com/office/word/2010/wordprocessingShape">
                    <wps:wsp>
                      <wps:cNvSpPr/>
                      <wps:spPr>
                        <a:xfrm>
                          <a:off x="0" y="0"/>
                          <a:ext cx="49784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2pt;margin-top:0.75pt;height:27.95pt;width:39.2pt;z-index:251664384;v-text-anchor:middle;mso-width-relative:page;mso-height-relative:page;" filled="f" stroked="t" coordsize="21600,21600" o:gfxdata="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xxXJNMAAAAFAQAA&#10;DwAAAAAAAAABACAAAAAiAAAAZHJzL2Rvd25yZXYueG1sUEsBAhQAFAAAAAgAh07iQK2cXlvlAQAA&#10;rwMAAA4AAAAAAAAAAQAgAAAAIgEAAGRycy9lMm9Eb2MueG1sUEsFBgAAAAAGAAYAWQEAAHkFAAAA&#10;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4297680" cy="304800"/>
            <wp:effectExtent l="0" t="0" r="7620" b="0"/>
            <wp:docPr id="13" name="图片 5" descr="说明: C:\Users\abc\AppData\Roaming\Tencent\Users\42054949\QQ\WinTemp\RichOle\HPR}P)YYPQH$3%{KEZ[)3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说明: C:\Users\abc\AppData\Roaming\Tencent\Users\42054949\QQ\WinTemp\RichOle\HPR}P)YYPQH$3%{KEZ[)3X8.png"/>
                    <pic:cNvPicPr>
                      <a:picLocks noChangeAspect="1"/>
                    </pic:cNvPicPr>
                  </pic:nvPicPr>
                  <pic:blipFill>
                    <a:blip r:embed="rId4"/>
                    <a:srcRect r="27866"/>
                    <a:stretch>
                      <a:fillRect/>
                    </a:stretch>
                  </pic:blipFill>
                  <pic:spPr>
                    <a:xfrm>
                      <a:off x="0" y="0"/>
                      <a:ext cx="4297680" cy="304800"/>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（2）、点击进入递交投标保证金</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5408" behindDoc="0" locked="0" layoutInCell="1" allowOverlap="1">
                <wp:simplePos x="0" y="0"/>
                <wp:positionH relativeFrom="column">
                  <wp:posOffset>4582160</wp:posOffset>
                </wp:positionH>
                <wp:positionV relativeFrom="paragraph">
                  <wp:posOffset>610235</wp:posOffset>
                </wp:positionV>
                <wp:extent cx="695960" cy="354965"/>
                <wp:effectExtent l="12700" t="12700" r="15240" b="13335"/>
                <wp:wrapNone/>
                <wp:docPr id="14" name="椭圆 14"/>
                <wp:cNvGraphicFramePr/>
                <a:graphic xmlns:a="http://schemas.openxmlformats.org/drawingml/2006/main">
                  <a:graphicData uri="http://schemas.microsoft.com/office/word/2010/wordprocessingShape">
                    <wps:wsp>
                      <wps:cNvSpPr/>
                      <wps:spPr>
                        <a:xfrm>
                          <a:off x="0" y="0"/>
                          <a:ext cx="69596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360.8pt;margin-top:48.05pt;height:27.95pt;width:54.8pt;z-index:251665408;v-text-anchor:middle;mso-width-relative:page;mso-height-relative:page;" filled="f" stroked="t" coordsize="21600,21600" o:gfxdata="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1Gnzc1wAAAAoB&#10;AAAPAAAAAAAAAAEAIAAAACIAAABkcnMvZG93bnJldi54bWxQSwECFAAUAAAACACHTuJAsC/jd+MB&#10;AACvAwAADgAAAAAAAAABACAAAAAmAQAAZHJzL2Uyb0RvYy54bWxQSwUGAAAAAAYABgBZAQAAewUA&#10;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5325745" cy="1059815"/>
            <wp:effectExtent l="0" t="0" r="8255" b="6985"/>
            <wp:docPr id="15" name="图片 6" descr="说明: C:\Users\abc\AppData\Roaming\Tencent\Users\42054949\QQ\WinTemp\RichOle\U3QC4~N`3O}B54}T%5NKX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说明: C:\Users\abc\AppData\Roaming\Tencent\Users\42054949\QQ\WinTemp\RichOle\U3QC4~N`3O}B54}T%5NKXY2.png"/>
                    <pic:cNvPicPr>
                      <a:picLocks noChangeAspect="1"/>
                    </pic:cNvPicPr>
                  </pic:nvPicPr>
                  <pic:blipFill>
                    <a:blip r:embed="rId5"/>
                    <a:stretch>
                      <a:fillRect/>
                    </a:stretch>
                  </pic:blipFill>
                  <pic:spPr>
                    <a:xfrm>
                      <a:off x="0" y="0"/>
                      <a:ext cx="5325745" cy="1059815"/>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（3）、查看到账金额（</w:t>
      </w:r>
      <w:r>
        <w:rPr>
          <w:rFonts w:hint="eastAsia" w:ascii="宋体" w:hAnsi="宋体" w:cs="宋体"/>
          <w:color w:val="000000"/>
          <w:sz w:val="21"/>
          <w:szCs w:val="21"/>
        </w:rPr>
        <w:t>保证金钱包账户余额</w:t>
      </w:r>
      <w:r>
        <w:rPr>
          <w:rFonts w:hint="eastAsia" w:ascii="宋体" w:hAnsi="宋体" w:cs="宋体"/>
          <w:sz w:val="21"/>
          <w:szCs w:val="21"/>
        </w:rPr>
        <w:t>）</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6432" behindDoc="0" locked="0" layoutInCell="1" allowOverlap="1">
                <wp:simplePos x="0" y="0"/>
                <wp:positionH relativeFrom="column">
                  <wp:posOffset>167005</wp:posOffset>
                </wp:positionH>
                <wp:positionV relativeFrom="paragraph">
                  <wp:posOffset>240030</wp:posOffset>
                </wp:positionV>
                <wp:extent cx="1057910" cy="354965"/>
                <wp:effectExtent l="12700" t="12700" r="15240" b="13335"/>
                <wp:wrapNone/>
                <wp:docPr id="16" name="椭圆 16"/>
                <wp:cNvGraphicFramePr/>
                <a:graphic xmlns:a="http://schemas.openxmlformats.org/drawingml/2006/main">
                  <a:graphicData uri="http://schemas.microsoft.com/office/word/2010/wordprocessingShape">
                    <wps:wsp>
                      <wps:cNvSpPr/>
                      <wps:spPr>
                        <a:xfrm>
                          <a:off x="0" y="0"/>
                          <a:ext cx="105791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3.15pt;margin-top:18.9pt;height:27.95pt;width:83.3pt;z-index:251666432;v-text-anchor:middle;mso-width-relative:page;mso-height-relative:page;" filled="f" stroked="t" coordsize="21600,21600" o:gfxdata="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jfs0tcAAAAI&#10;AQAADwAAAAAAAAABACAAAAAiAAAAZHJzL2Rvd25yZXYueG1sUEsBAhQAFAAAAAgAh07iQBrSUxrk&#10;AQAAsAMAAA4AAAAAAAAAAQAgAAAAJgEAAGRycy9lMm9Eb2MueG1sUEsFBgAAAAAGAAYAWQEAAHwF&#10;AA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5265420" cy="1074420"/>
            <wp:effectExtent l="0" t="0" r="11430" b="11430"/>
            <wp:docPr id="17" name="图片 7"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descr="说明: C:\Users\abc\AppData\Roaming\Tencent\Users\42054949\QQ\WinTemp\RichOle\PI$9P51%_3)$`]FJTC])1M3.png"/>
                    <pic:cNvPicPr>
                      <a:picLocks noChangeAspect="1"/>
                    </pic:cNvPicPr>
                  </pic:nvPicPr>
                  <pic:blipFill>
                    <a:blip r:embed="rId6"/>
                    <a:srcRect t="-2" r="43517" b="41075"/>
                    <a:stretch>
                      <a:fillRect/>
                    </a:stretch>
                  </pic:blipFill>
                  <pic:spPr>
                    <a:xfrm>
                      <a:off x="0" y="0"/>
                      <a:ext cx="5265420" cy="1074420"/>
                    </a:xfrm>
                    <a:prstGeom prst="rect">
                      <a:avLst/>
                    </a:prstGeom>
                    <a:noFill/>
                    <a:ln>
                      <a:noFill/>
                    </a:ln>
                  </pic:spPr>
                </pic:pic>
              </a:graphicData>
            </a:graphic>
          </wp:inline>
        </w:drawing>
      </w:r>
    </w:p>
    <w:p>
      <w:pPr>
        <w:spacing w:line="288" w:lineRule="auto"/>
        <w:rPr>
          <w:rFonts w:hint="eastAsia" w:ascii="宋体" w:hAnsi="宋体" w:cs="宋体"/>
          <w:color w:val="000000"/>
          <w:sz w:val="21"/>
          <w:szCs w:val="21"/>
        </w:rPr>
      </w:pPr>
      <w:r>
        <w:rPr>
          <w:rFonts w:hint="eastAsia" w:ascii="宋体" w:hAnsi="宋体" w:cs="宋体"/>
          <w:color w:val="000000"/>
          <w:sz w:val="21"/>
          <w:szCs w:val="21"/>
        </w:rPr>
        <w:t>3、提交投标保证金</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（1）选择项目</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（2）、支付</w:t>
      </w:r>
    </w:p>
    <w:p>
      <w:pPr>
        <w:spacing w:line="288" w:lineRule="auto"/>
        <w:rPr>
          <w:rFonts w:hint="eastAsia" w:ascii="宋体" w:hAnsi="宋体" w:cs="宋体"/>
          <w:color w:val="000000"/>
          <w:sz w:val="21"/>
          <w:szCs w:val="21"/>
        </w:rPr>
      </w:pPr>
      <w:r>
        <w:rPr>
          <w:rFonts w:hint="eastAsia" w:ascii="宋体" w:hAnsi="宋体" w:cs="宋体"/>
          <w:color w:val="000000"/>
          <w:sz w:val="21"/>
          <w:szCs w:val="21"/>
        </w:rPr>
        <w:t>（3）、刷新，查询购买状态</w:t>
      </w:r>
    </w:p>
    <w:p>
      <w:r>
        <w:rPr>
          <w:rFonts w:hint="eastAsia" w:ascii="宋体" w:hAnsi="宋体" w:cs="宋体"/>
          <w:sz w:val="21"/>
          <w:szCs w:val="21"/>
        </w:rPr>
        <mc:AlternateContent>
          <mc:Choice Requires="wps">
            <w:drawing>
              <wp:anchor distT="0" distB="0" distL="114300" distR="114300" simplePos="0" relativeHeight="251669504" behindDoc="0" locked="0" layoutInCell="1" allowOverlap="1">
                <wp:simplePos x="0" y="0"/>
                <wp:positionH relativeFrom="column">
                  <wp:posOffset>4860925</wp:posOffset>
                </wp:positionH>
                <wp:positionV relativeFrom="paragraph">
                  <wp:posOffset>363855</wp:posOffset>
                </wp:positionV>
                <wp:extent cx="347345" cy="354330"/>
                <wp:effectExtent l="12700" t="12700" r="20955" b="13970"/>
                <wp:wrapNone/>
                <wp:docPr id="18" name="椭圆 18"/>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382.75pt;margin-top:28.65pt;height:27.9pt;width:27.35pt;z-index:251669504;v-text-anchor:middle;mso-width-relative:page;mso-height-relative:page;" filled="f" stroked="t" coordsize="21600,21600" o:gfxdata="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8HyNX2gAAAAoBAAAPAAAAAAAAAAEAIAAAACIAAABkcnMvZG93bnJldi54&#10;bWxQSwECFAAUAAAACACHTuJApwSMTPgBAADeAwAADgAAAAAAAAABACAAAAApAQAAZHJzL2Uyb0Rv&#10;Yy54bWxQSwUGAAAAAAYABgBZAQAAkwUAAAAA&#10;">
                <v:fill on="f" focussize="0,0"/>
                <v:stroke weight="2pt" color="#FF0000" joinstyle="round"/>
                <v:imagedata o:title=""/>
                <o:lock v:ext="edit" aspectratio="f"/>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70528" behindDoc="0" locked="0" layoutInCell="1" allowOverlap="1">
                <wp:simplePos x="0" y="0"/>
                <wp:positionH relativeFrom="column">
                  <wp:posOffset>2874645</wp:posOffset>
                </wp:positionH>
                <wp:positionV relativeFrom="paragraph">
                  <wp:posOffset>755015</wp:posOffset>
                </wp:positionV>
                <wp:extent cx="347345" cy="354330"/>
                <wp:effectExtent l="12700" t="12700" r="20955" b="13970"/>
                <wp:wrapNone/>
                <wp:docPr id="19" name="椭圆 19"/>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226.35pt;margin-top:59.45pt;height:27.9pt;width:27.35pt;z-index:251670528;v-text-anchor:middle;mso-width-relative:page;mso-height-relative:page;" filled="f" stroked="t" coordsize="21600,21600" o:gfxdata="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Vr8cTZAAAACwEAAA8AAAAAAAAAAQAgAAAAIgAAAGRycy9kb3ducmV2Lnht&#10;bFBLAQIUABQAAAAIAIdO4kD04otq+AEAAN4DAAAOAAAAAAAAAAEAIAAAACgBAABkcnMvZTJvRG9j&#10;LnhtbFBLBQYAAAAABgAGAFkBAACSBQAAAAA=&#10;">
                <v:fill on="f" focussize="0,0"/>
                <v:stroke weight="2pt" color="#FF0000" joinstyle="round"/>
                <v:imagedata o:title=""/>
                <o:lock v:ext="edit" aspectratio="f"/>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7456" behindDoc="0" locked="0" layoutInCell="1" allowOverlap="1">
                <wp:simplePos x="0" y="0"/>
                <wp:positionH relativeFrom="column">
                  <wp:posOffset>-52070</wp:posOffset>
                </wp:positionH>
                <wp:positionV relativeFrom="paragraph">
                  <wp:posOffset>378460</wp:posOffset>
                </wp:positionV>
                <wp:extent cx="347345" cy="354330"/>
                <wp:effectExtent l="12700" t="12700" r="20955" b="13970"/>
                <wp:wrapNone/>
                <wp:docPr id="20" name="椭圆 20"/>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1</w:t>
                            </w:r>
                          </w:p>
                        </w:txbxContent>
                      </wps:txbx>
                      <wps:bodyPr lIns="0" tIns="0" rIns="0" bIns="0" anchor="ctr" upright="1"/>
                    </wps:wsp>
                  </a:graphicData>
                </a:graphic>
              </wp:anchor>
            </w:drawing>
          </mc:Choice>
          <mc:Fallback>
            <w:pict>
              <v:shape id="_x0000_s1026" o:spid="_x0000_s1026" o:spt="3" type="#_x0000_t3" style="position:absolute;left:0pt;margin-left:-4.1pt;margin-top:29.8pt;height:27.9pt;width:27.35pt;z-index:251667456;v-text-anchor:middle;mso-width-relative:page;mso-height-relative:page;" filled="f" stroked="t" coordsize="21600,21600" o:gfxdata="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NE8y9gAAAAIAQAADwAAAAAAAAABACAAAAAiAAAAZHJzL2Rvd25yZXYueG1s&#10;UEsBAhQAFAAAAAgAh07iQMc+f2r4AQAA3gMAAA4AAAAAAAAAAQAgAAAAJwEAAGRycy9lMm9Eb2Mu&#10;eG1sUEsFBgAAAAAGAAYAWQEAAJEFAAAAAA==&#10;">
                <v:fill on="f" focussize="0,0"/>
                <v:stroke weight="2pt" color="#FF0000" joinstyle="round"/>
                <v:imagedata o:title=""/>
                <o:lock v:ext="edit" aspectratio="f"/>
                <v:textbox inset="0mm,0mm,0mm,0mm">
                  <w:txbxContent>
                    <w:p>
                      <w:pPr>
                        <w:jc w:val="center"/>
                        <w:rPr>
                          <w:color w:val="FF0000"/>
                        </w:rPr>
                      </w:pPr>
                      <w:r>
                        <w:rPr>
                          <w:rFonts w:hint="eastAsia"/>
                          <w:color w:val="FF0000"/>
                        </w:rPr>
                        <w:t>1</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8480" behindDoc="0" locked="0" layoutInCell="1" allowOverlap="1">
                <wp:simplePos x="0" y="0"/>
                <wp:positionH relativeFrom="column">
                  <wp:posOffset>2527300</wp:posOffset>
                </wp:positionH>
                <wp:positionV relativeFrom="paragraph">
                  <wp:posOffset>755650</wp:posOffset>
                </wp:positionV>
                <wp:extent cx="347345" cy="354330"/>
                <wp:effectExtent l="12700" t="12700" r="20955" b="13970"/>
                <wp:wrapNone/>
                <wp:docPr id="21" name="椭圆 21"/>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2</w:t>
                            </w:r>
                          </w:p>
                        </w:txbxContent>
                      </wps:txbx>
                      <wps:bodyPr lIns="0" tIns="0" rIns="0" bIns="0" anchor="ctr" upright="1"/>
                    </wps:wsp>
                  </a:graphicData>
                </a:graphic>
              </wp:anchor>
            </w:drawing>
          </mc:Choice>
          <mc:Fallback>
            <w:pict>
              <v:shape id="_x0000_s1026" o:spid="_x0000_s1026" o:spt="3" type="#_x0000_t3" style="position:absolute;left:0pt;margin-left:199pt;margin-top:59.5pt;height:27.9pt;width:27.35pt;z-index:251668480;v-text-anchor:middle;mso-width-relative:page;mso-height-relative:page;" filled="f" stroked="t" coordsize="21600,21600" o:gfxdata="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BFoXy2gAAAAsBAAAPAAAAAAAAAAEAIAAAACIAAABkcnMvZG93bnJldi54&#10;bWxQSwECFAAUAAAACACHTuJAlNh4TPgBAADeAwAADgAAAAAAAAABACAAAAApAQAAZHJzL2Uyb0Rv&#10;Yy54bWxQSwUGAAAAAAYABgBZAQAAkwUAAAAA&#10;">
                <v:fill on="f" focussize="0,0"/>
                <v:stroke weight="2pt" color="#FF0000" joinstyle="round"/>
                <v:imagedata o:title=""/>
                <o:lock v:ext="edit" aspectratio="f"/>
                <v:textbox inset="0mm,0mm,0mm,0mm">
                  <w:txbxContent>
                    <w:p>
                      <w:pPr>
                        <w:jc w:val="center"/>
                        <w:rPr>
                          <w:color w:val="FF0000"/>
                        </w:rPr>
                      </w:pPr>
                      <w:r>
                        <w:rPr>
                          <w:rFonts w:hint="eastAsia"/>
                          <w:color w:val="FF0000"/>
                        </w:rPr>
                        <w:t>2</w:t>
                      </w:r>
                    </w:p>
                  </w:txbxContent>
                </v:textbox>
              </v:shape>
            </w:pict>
          </mc:Fallback>
        </mc:AlternateContent>
      </w:r>
      <w:r>
        <w:rPr>
          <w:rFonts w:hint="eastAsia" w:ascii="宋体" w:hAnsi="宋体" w:cs="宋体"/>
          <w:sz w:val="21"/>
          <w:szCs w:val="21"/>
        </w:rPr>
        <w:drawing>
          <wp:inline distT="0" distB="0" distL="114300" distR="114300">
            <wp:extent cx="5280660" cy="1028700"/>
            <wp:effectExtent l="0" t="0" r="15240" b="0"/>
            <wp:docPr id="22" name="图片 8"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descr="说明: C:\Users\abc\AppData\Roaming\Tencent\Users\42054949\QQ\WinTemp\RichOle\PI$9P51%_3)$`]FJTC])1M3.png"/>
                    <pic:cNvPicPr>
                      <a:picLocks noChangeAspect="1"/>
                    </pic:cNvPicPr>
                  </pic:nvPicPr>
                  <pic:blipFill>
                    <a:blip r:embed="rId6"/>
                    <a:srcRect r="-473"/>
                    <a:stretch>
                      <a:fillRect/>
                    </a:stretch>
                  </pic:blipFill>
                  <pic:spPr>
                    <a:xfrm>
                      <a:off x="0" y="0"/>
                      <a:ext cx="5280660" cy="102870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D7AC7"/>
    <w:rsid w:val="084D7AC7"/>
    <w:rsid w:val="205104C7"/>
    <w:rsid w:val="4F0F0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sz w:val="22"/>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列出段落1"/>
    <w:basedOn w:val="1"/>
    <w:uiPriority w:val="0"/>
    <w:pPr>
      <w:widowControl w:val="0"/>
      <w:ind w:firstLine="420" w:firstLineChars="200"/>
      <w:jc w:val="both"/>
    </w:pPr>
    <w:rPr>
      <w:rFonts w:ascii="Calibri" w:hAnsi="Calibri" w:cs="Calibri"/>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2020-07-27T06:42:00Z</dcterms:created>
  <dc:creator>zhengbin-jl</dc:creator>
  <cp:lastModifiedBy>zhengbin-jl</cp:lastModifiedBy>
  <dcterms:modified xsi:type="dcterms:W3CDTF">2020-07-28T01:42:11Z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