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88" w:lineRule="auto"/>
        <w:jc w:val="center"/>
        <w:rPr>
          <w:rFonts w:hint="eastAsia" w:eastAsia="黑体"/>
          <w:kern w:val="2"/>
          <w:sz w:val="28"/>
          <w:szCs w:val="28"/>
        </w:rPr>
      </w:pPr>
      <w:r>
        <w:rPr>
          <w:rFonts w:hint="eastAsia" w:eastAsia="黑体"/>
          <w:kern w:val="2"/>
          <w:sz w:val="28"/>
          <w:szCs w:val="28"/>
        </w:rPr>
        <w:t>吉林油田</w:t>
      </w:r>
      <w:r>
        <w:rPr>
          <w:rFonts w:hint="eastAsia" w:ascii="黑体" w:eastAsia="黑体" w:cs="黑体"/>
          <w:color w:val="0000C8"/>
          <w:kern w:val="2"/>
          <w:sz w:val="28"/>
          <w:szCs w:val="28"/>
          <w:lang w:eastAsia="zh-CN"/>
        </w:rPr>
        <w:t>烯丙基三甲基氯化铵三次</w:t>
      </w:r>
      <w:r>
        <w:rPr>
          <w:rFonts w:hint="eastAsia" w:ascii="黑体" w:eastAsia="黑体" w:cs="黑体"/>
          <w:color w:val="auto"/>
          <w:kern w:val="2"/>
          <w:sz w:val="28"/>
          <w:szCs w:val="28"/>
          <w:lang w:eastAsia="zh-CN"/>
        </w:rPr>
        <w:t>物资</w:t>
      </w:r>
      <w:r>
        <w:rPr>
          <w:rFonts w:hint="eastAsia" w:eastAsia="黑体"/>
          <w:kern w:val="2"/>
          <w:sz w:val="28"/>
          <w:szCs w:val="28"/>
        </w:rPr>
        <w:t>采购招标公告</w:t>
      </w:r>
    </w:p>
    <w:p>
      <w:pPr>
        <w:spacing w:line="288" w:lineRule="auto"/>
        <w:ind w:firstLine="420"/>
        <w:jc w:val="right"/>
        <w:rPr>
          <w:rFonts w:hint="eastAsia" w:ascii="黑体" w:hAnsi="黑体" w:eastAsia="黑体" w:cs="黑体"/>
          <w:color w:val="0000CC"/>
          <w:sz w:val="28"/>
          <w:szCs w:val="28"/>
          <w:u w:val="single"/>
          <w:lang w:eastAsia="zh-CN"/>
        </w:rPr>
      </w:pPr>
      <w:r>
        <w:t xml:space="preserve">                              </w:t>
      </w:r>
      <w:r>
        <w:rPr>
          <w:rFonts w:hint="eastAsia" w:eastAsia="黑体"/>
          <w:kern w:val="2"/>
          <w:sz w:val="28"/>
          <w:szCs w:val="28"/>
          <w:lang w:val="zh-CN"/>
        </w:rPr>
        <w:t>招标编号：</w:t>
      </w:r>
      <w:r>
        <w:rPr>
          <w:rFonts w:hint="eastAsia" w:ascii="黑体" w:hAnsi="黑体" w:eastAsia="黑体" w:cs="黑体"/>
          <w:sz w:val="28"/>
          <w:szCs w:val="28"/>
          <w:lang w:eastAsia="zh-CN"/>
        </w:rPr>
        <w:t>JLYT-ZBZX-2020-WZ-094-3</w:t>
      </w:r>
    </w:p>
    <w:p>
      <w:pPr>
        <w:spacing w:line="288" w:lineRule="auto"/>
        <w:ind w:firstLine="420"/>
        <w:jc w:val="right"/>
        <w:rPr>
          <w:rFonts w:hint="eastAsia" w:ascii="黑体" w:hAnsi="黑体" w:eastAsia="黑体" w:cs="黑体"/>
          <w:color w:val="0000CC"/>
          <w:sz w:val="28"/>
          <w:szCs w:val="28"/>
          <w:u w:val="single"/>
        </w:rPr>
      </w:pPr>
    </w:p>
    <w:p>
      <w:pPr>
        <w:rPr>
          <w:rFonts w:ascii="Arial" w:hAnsi="Arial" w:eastAsia="黑体"/>
          <w:b/>
          <w:bCs/>
          <w:kern w:val="2"/>
          <w:sz w:val="32"/>
          <w:szCs w:val="32"/>
        </w:rPr>
      </w:pPr>
      <w:bookmarkStart w:id="0" w:name="_Toc347209678"/>
      <w:bookmarkStart w:id="1" w:name="_Toc520895294"/>
      <w:bookmarkStart w:id="2" w:name="_Toc17902421"/>
      <w:bookmarkStart w:id="3" w:name="_Toc347086849"/>
      <w:bookmarkStart w:id="4" w:name="_Toc347086983"/>
      <w:bookmarkStart w:id="5" w:name="_Toc489354666"/>
      <w:r>
        <w:rPr>
          <w:rFonts w:hint="eastAsia" w:ascii="Arial" w:hAnsi="Arial" w:eastAsia="黑体"/>
          <w:b/>
          <w:bCs/>
          <w:kern w:val="2"/>
          <w:sz w:val="32"/>
          <w:szCs w:val="32"/>
        </w:rPr>
        <w:t>1.招标条件</w:t>
      </w:r>
      <w:bookmarkEnd w:id="0"/>
      <w:bookmarkEnd w:id="1"/>
      <w:bookmarkEnd w:id="2"/>
      <w:bookmarkEnd w:id="3"/>
      <w:bookmarkEnd w:id="4"/>
      <w:bookmarkEnd w:id="5"/>
    </w:p>
    <w:p>
      <w:pPr>
        <w:overflowPunct w:val="0"/>
        <w:spacing w:line="288" w:lineRule="auto"/>
        <w:ind w:firstLine="420"/>
        <w:rPr>
          <w:rFonts w:hAnsi="宋体" w:cs="宋体"/>
          <w:szCs w:val="21"/>
        </w:rPr>
      </w:pPr>
      <w:bookmarkStart w:id="6" w:name="_Toc347086850"/>
      <w:bookmarkStart w:id="7" w:name="_Toc347209679"/>
      <w:bookmarkStart w:id="8" w:name="_Toc347086984"/>
      <w:r>
        <w:rPr>
          <w:rFonts w:hint="eastAsia"/>
          <w:kern w:val="2"/>
          <w:sz w:val="21"/>
          <w:szCs w:val="21"/>
        </w:rPr>
        <w:t>本招标项目招标人为中国石油天然气股份有限公司吉林油田分公司，招标机构为中国石油天然气股份有限公司吉林油田分公司招标中心。招标项目资金（资金来源）已落实，该项目已具备招标条件，现进行公开招标。</w:t>
      </w:r>
    </w:p>
    <w:p>
      <w:pPr>
        <w:rPr>
          <w:rFonts w:ascii="Arial" w:hAnsi="Arial" w:eastAsia="黑体"/>
          <w:b/>
          <w:bCs/>
          <w:kern w:val="2"/>
          <w:sz w:val="32"/>
          <w:szCs w:val="32"/>
        </w:rPr>
      </w:pPr>
      <w:bookmarkStart w:id="9" w:name="_Toc17902422"/>
      <w:bookmarkStart w:id="10" w:name="_Toc520895295"/>
      <w:bookmarkStart w:id="11" w:name="_Toc489354667"/>
      <w:r>
        <w:rPr>
          <w:rFonts w:hint="eastAsia" w:ascii="Arial" w:hAnsi="Arial" w:eastAsia="黑体"/>
          <w:b/>
          <w:bCs/>
          <w:kern w:val="2"/>
          <w:sz w:val="32"/>
          <w:szCs w:val="32"/>
        </w:rPr>
        <w:t>2.项目概况与招标范围</w:t>
      </w:r>
      <w:bookmarkEnd w:id="6"/>
      <w:bookmarkEnd w:id="7"/>
      <w:bookmarkEnd w:id="8"/>
      <w:bookmarkEnd w:id="9"/>
      <w:bookmarkEnd w:id="10"/>
      <w:bookmarkEnd w:id="11"/>
      <w:r>
        <w:rPr>
          <w:rFonts w:ascii="Arial" w:hAnsi="Arial" w:eastAsia="黑体"/>
          <w:b/>
          <w:bCs/>
          <w:kern w:val="2"/>
          <w:sz w:val="32"/>
          <w:szCs w:val="32"/>
        </w:rPr>
        <w:t xml:space="preserve"> </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2.1项目概况</w:t>
      </w:r>
    </w:p>
    <w:p>
      <w:pPr>
        <w:spacing w:line="288" w:lineRule="auto"/>
        <w:ind w:firstLine="420" w:firstLineChars="200"/>
        <w:rPr>
          <w:rFonts w:hint="eastAsia" w:ascii="宋体" w:hAnsi="宋体" w:cs="宋体"/>
          <w:color w:val="0000C8"/>
          <w:sz w:val="21"/>
          <w:szCs w:val="21"/>
        </w:rPr>
      </w:pPr>
      <w:r>
        <w:rPr>
          <w:rFonts w:hint="eastAsia" w:ascii="宋体" w:hAnsi="宋体" w:cs="宋体"/>
          <w:sz w:val="21"/>
          <w:szCs w:val="21"/>
        </w:rPr>
        <w:t>2.1.1本项目预计采购金额</w:t>
      </w:r>
      <w:r>
        <w:rPr>
          <w:rFonts w:hint="eastAsia" w:ascii="宋体" w:hAnsi="宋体" w:cs="宋体"/>
          <w:color w:val="0000C8"/>
          <w:sz w:val="21"/>
          <w:szCs w:val="21"/>
          <w:lang w:val="en-US" w:eastAsia="zh-CN"/>
        </w:rPr>
        <w:t>280</w:t>
      </w:r>
      <w:r>
        <w:rPr>
          <w:rFonts w:hint="eastAsia" w:ascii="宋体" w:hAnsi="宋体" w:cs="宋体"/>
          <w:color w:val="0000C8"/>
          <w:sz w:val="21"/>
          <w:szCs w:val="21"/>
        </w:rPr>
        <w:t>万元（不含增值税），定商定价不定量</w:t>
      </w:r>
      <w:r>
        <w:rPr>
          <w:rFonts w:hint="eastAsia" w:ascii="宋体" w:hAnsi="宋体" w:cs="宋体"/>
          <w:sz w:val="21"/>
          <w:szCs w:val="21"/>
        </w:rPr>
        <w:t>采购，</w:t>
      </w:r>
      <w:r>
        <w:rPr>
          <w:rFonts w:hint="eastAsia" w:ascii="宋体" w:hAnsi="宋体" w:cs="宋体"/>
          <w:color w:val="0000C8"/>
          <w:sz w:val="21"/>
          <w:szCs w:val="21"/>
        </w:rPr>
        <w:t>需求数量以实际发生为准。项目执行期限为合同签订之日起一年。有效期满一年，或者有效期未满、但框架额度已满，则本次中标结果终止 ；</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2.1.2 实施或交货地点：</w:t>
      </w:r>
      <w:r>
        <w:rPr>
          <w:rFonts w:hint="eastAsia" w:ascii="宋体" w:hAnsi="宋体" w:cs="宋体"/>
          <w:color w:val="0000FF"/>
          <w:kern w:val="0"/>
          <w:szCs w:val="21"/>
        </w:rPr>
        <w:t>吉林油田兴业油化公司施工现场</w:t>
      </w:r>
      <w:r>
        <w:rPr>
          <w:rFonts w:hint="eastAsia" w:ascii="宋体" w:hAnsi="宋体" w:cs="宋体"/>
          <w:color w:val="0000FF"/>
          <w:sz w:val="21"/>
          <w:szCs w:val="21"/>
        </w:rPr>
        <w:t>；</w:t>
      </w:r>
    </w:p>
    <w:p>
      <w:pPr>
        <w:spacing w:line="288" w:lineRule="auto"/>
        <w:ind w:firstLine="420" w:firstLineChars="200"/>
        <w:rPr>
          <w:rFonts w:hint="eastAsia" w:ascii="宋体" w:hAnsi="宋体" w:cs="宋体"/>
          <w:color w:val="0000C8"/>
          <w:sz w:val="21"/>
          <w:szCs w:val="21"/>
        </w:rPr>
      </w:pPr>
      <w:r>
        <w:rPr>
          <w:rFonts w:hint="eastAsia" w:ascii="宋体" w:hAnsi="宋体" w:cs="宋体"/>
          <w:sz w:val="21"/>
          <w:szCs w:val="21"/>
        </w:rPr>
        <w:t>2.1.3交货期或供货周期：</w:t>
      </w:r>
      <w:r>
        <w:rPr>
          <w:rFonts w:hint="eastAsia" w:ascii="宋体" w:hAnsi="宋体" w:cs="宋体"/>
          <w:color w:val="0000FF"/>
          <w:kern w:val="0"/>
          <w:szCs w:val="21"/>
        </w:rPr>
        <w:t>按照需求单位电话通知数量，15个工作日内送达指定地点；</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2.1.4运输方式：</w:t>
      </w:r>
      <w:r>
        <w:rPr>
          <w:rFonts w:hint="eastAsia" w:cs="宋体"/>
          <w:color w:val="000FDC"/>
          <w:szCs w:val="21"/>
          <w:lang w:eastAsia="zh-CN"/>
        </w:rPr>
        <w:t>公路或铁路运输</w:t>
      </w:r>
      <w:r>
        <w:rPr>
          <w:rFonts w:hint="eastAsia" w:ascii="宋体" w:hAnsi="宋体" w:cs="宋体"/>
          <w:sz w:val="21"/>
          <w:szCs w:val="21"/>
        </w:rPr>
        <w:t>；</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2.1.5交货方式：</w:t>
      </w:r>
      <w:r>
        <w:rPr>
          <w:rFonts w:hint="eastAsia" w:ascii="宋体" w:hAnsi="宋体" w:cs="宋体"/>
          <w:kern w:val="0"/>
          <w:szCs w:val="21"/>
        </w:rPr>
        <w:t>乙方送货</w:t>
      </w:r>
      <w:r>
        <w:rPr>
          <w:rFonts w:hint="eastAsia" w:ascii="宋体" w:hAnsi="宋体" w:cs="宋体"/>
          <w:sz w:val="21"/>
          <w:szCs w:val="21"/>
        </w:rPr>
        <w:t>；</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2.1.6验收方式：按技术要求及合同相关条款验收；</w:t>
      </w:r>
    </w:p>
    <w:p>
      <w:pPr>
        <w:spacing w:line="288" w:lineRule="auto"/>
        <w:ind w:firstLine="420" w:firstLineChars="200"/>
        <w:rPr>
          <w:rFonts w:hint="eastAsia" w:ascii="宋体" w:hAnsi="宋体" w:cs="宋体"/>
          <w:color w:val="0000CC"/>
          <w:sz w:val="21"/>
          <w:szCs w:val="21"/>
        </w:rPr>
      </w:pPr>
      <w:r>
        <w:rPr>
          <w:rFonts w:hint="eastAsia" w:ascii="宋体" w:hAnsi="宋体" w:cs="宋体"/>
          <w:sz w:val="21"/>
          <w:szCs w:val="21"/>
        </w:rPr>
        <w:t>2.1.7质量保证期：</w:t>
      </w:r>
      <w:r>
        <w:rPr>
          <w:rFonts w:hint="eastAsia" w:ascii="宋体" w:hAnsi="宋体" w:cs="宋体"/>
          <w:color w:val="0000C8"/>
          <w:sz w:val="21"/>
          <w:szCs w:val="21"/>
        </w:rPr>
        <w:t>自验收合格之日起</w:t>
      </w:r>
      <w:r>
        <w:rPr>
          <w:rFonts w:hint="eastAsia" w:ascii="宋体" w:hAnsi="宋体" w:cs="宋体"/>
          <w:color w:val="0000C8"/>
          <w:sz w:val="21"/>
          <w:szCs w:val="21"/>
          <w:lang w:val="en-US" w:eastAsia="zh-CN"/>
        </w:rPr>
        <w:t>1</w:t>
      </w:r>
      <w:r>
        <w:rPr>
          <w:rFonts w:hint="eastAsia" w:ascii="宋体" w:hAnsi="宋体" w:cs="宋体"/>
          <w:color w:val="0000C8"/>
          <w:sz w:val="21"/>
          <w:szCs w:val="21"/>
        </w:rPr>
        <w:t>年</w:t>
      </w:r>
      <w:r>
        <w:rPr>
          <w:rFonts w:hint="eastAsia" w:ascii="宋体" w:hAnsi="宋体" w:cs="宋体"/>
          <w:color w:val="0000CC"/>
          <w:sz w:val="21"/>
          <w:szCs w:val="21"/>
        </w:rPr>
        <w:t>；</w:t>
      </w:r>
    </w:p>
    <w:p>
      <w:pPr>
        <w:spacing w:line="288" w:lineRule="auto"/>
        <w:ind w:firstLine="420" w:firstLineChars="200"/>
        <w:rPr>
          <w:rFonts w:hint="eastAsia" w:ascii="宋体" w:hAnsi="宋体" w:cs="宋体"/>
          <w:color w:val="333333"/>
          <w:sz w:val="21"/>
          <w:szCs w:val="21"/>
        </w:rPr>
      </w:pPr>
      <w:r>
        <w:rPr>
          <w:rFonts w:hint="eastAsia" w:ascii="宋体" w:hAnsi="宋体" w:cs="宋体"/>
          <w:sz w:val="21"/>
          <w:szCs w:val="21"/>
        </w:rPr>
        <w:t>2.1.8质量标准或技术要求：</w:t>
      </w:r>
      <w:r>
        <w:rPr>
          <w:rFonts w:hint="eastAsia" w:ascii="宋体" w:hAnsi="宋体" w:cs="宋体"/>
          <w:color w:val="333333"/>
          <w:sz w:val="21"/>
          <w:szCs w:val="21"/>
        </w:rPr>
        <w:t>详见《附件2：技术要求》。</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2.2招标范围</w:t>
      </w:r>
    </w:p>
    <w:p>
      <w:pPr>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2.2.1货物名称及规格：详见《附件1：货物需求一览表》；</w:t>
      </w:r>
    </w:p>
    <w:p>
      <w:pPr>
        <w:spacing w:line="288" w:lineRule="auto"/>
        <w:ind w:firstLine="420" w:firstLineChars="200"/>
        <w:rPr>
          <w:rFonts w:hint="eastAsia" w:ascii="宋体" w:hAnsi="宋体" w:eastAsia="宋体" w:cs="宋体"/>
          <w:sz w:val="21"/>
          <w:szCs w:val="21"/>
          <w:highlight w:val="none"/>
          <w:lang w:eastAsia="zh-CN"/>
        </w:rPr>
      </w:pPr>
      <w:r>
        <w:rPr>
          <w:rFonts w:hint="eastAsia" w:ascii="宋体" w:hAnsi="宋体" w:cs="宋体"/>
          <w:sz w:val="21"/>
          <w:szCs w:val="21"/>
          <w:highlight w:val="none"/>
        </w:rPr>
        <w:t>2.2.2标包划分</w:t>
      </w:r>
      <w:r>
        <w:rPr>
          <w:rFonts w:hint="eastAsia" w:ascii="宋体" w:hAnsi="宋体" w:cs="宋体"/>
          <w:sz w:val="21"/>
          <w:szCs w:val="21"/>
          <w:highlight w:val="none"/>
          <w:lang w:eastAsia="zh-CN"/>
        </w:rPr>
        <w:t>：</w:t>
      </w:r>
      <w:r>
        <w:rPr>
          <w:rFonts w:hint="eastAsia" w:ascii="宋体" w:hAnsi="宋体" w:cs="宋体"/>
          <w:color w:val="0000C8"/>
          <w:sz w:val="21"/>
          <w:szCs w:val="21"/>
          <w:highlight w:val="none"/>
          <w:lang w:val="en-US" w:eastAsia="zh-CN"/>
        </w:rPr>
        <w:t>1</w:t>
      </w:r>
      <w:r>
        <w:rPr>
          <w:rFonts w:hint="eastAsia" w:ascii="宋体" w:hAnsi="宋体" w:cs="宋体"/>
          <w:color w:val="0000C8"/>
          <w:sz w:val="21"/>
          <w:szCs w:val="21"/>
          <w:highlight w:val="none"/>
        </w:rPr>
        <w:t>个标包</w:t>
      </w:r>
      <w:r>
        <w:rPr>
          <w:rFonts w:hint="eastAsia" w:ascii="宋体" w:hAnsi="宋体" w:cs="宋体"/>
          <w:color w:val="0000C8"/>
          <w:sz w:val="21"/>
          <w:szCs w:val="21"/>
          <w:highlight w:val="none"/>
          <w:lang w:eastAsia="zh-CN"/>
        </w:rPr>
        <w:t>；</w:t>
      </w:r>
    </w:p>
    <w:p>
      <w:pPr>
        <w:spacing w:line="288" w:lineRule="auto"/>
        <w:ind w:firstLine="420" w:firstLineChars="200"/>
        <w:rPr>
          <w:rFonts w:hint="eastAsia" w:ascii="宋体" w:hAnsi="宋体" w:cs="宋体"/>
          <w:color w:val="0000C8"/>
          <w:sz w:val="21"/>
          <w:szCs w:val="21"/>
          <w:lang w:eastAsia="zh-CN"/>
        </w:rPr>
      </w:pPr>
      <w:r>
        <w:rPr>
          <w:rFonts w:hint="eastAsia" w:ascii="宋体" w:hAnsi="宋体" w:cs="宋体"/>
          <w:sz w:val="21"/>
          <w:szCs w:val="21"/>
          <w:highlight w:val="none"/>
          <w:lang w:val="en-US" w:eastAsia="zh-CN"/>
        </w:rPr>
        <w:t>2.2.3</w:t>
      </w:r>
      <w:r>
        <w:rPr>
          <w:rFonts w:hint="eastAsia" w:ascii="宋体" w:hAnsi="宋体" w:cs="宋体"/>
          <w:sz w:val="21"/>
          <w:szCs w:val="21"/>
          <w:highlight w:val="none"/>
        </w:rPr>
        <w:t>中标人数量：</w:t>
      </w:r>
      <w:r>
        <w:rPr>
          <w:rFonts w:hint="eastAsia" w:ascii="宋体" w:hAnsi="宋体" w:cs="宋体"/>
          <w:color w:val="0000C8"/>
          <w:sz w:val="21"/>
          <w:szCs w:val="21"/>
          <w:lang w:val="en-US" w:eastAsia="zh-CN"/>
        </w:rPr>
        <w:t>1家</w:t>
      </w:r>
      <w:r>
        <w:rPr>
          <w:rFonts w:hint="eastAsia" w:ascii="宋体" w:hAnsi="宋体" w:cs="宋体"/>
          <w:color w:val="0000C8"/>
          <w:sz w:val="21"/>
          <w:szCs w:val="21"/>
          <w:lang w:eastAsia="zh-CN"/>
        </w:rPr>
        <w:t>；</w:t>
      </w:r>
    </w:p>
    <w:p>
      <w:pPr>
        <w:spacing w:line="288" w:lineRule="auto"/>
        <w:ind w:firstLine="420" w:firstLineChars="200"/>
        <w:rPr>
          <w:rFonts w:hint="default" w:ascii="宋体" w:hAnsi="宋体" w:eastAsia="宋体" w:cs="宋体"/>
          <w:color w:val="0000C8"/>
          <w:sz w:val="21"/>
          <w:szCs w:val="21"/>
          <w:lang w:val="en-US" w:eastAsia="zh-CN"/>
        </w:rPr>
      </w:pPr>
      <w:r>
        <w:rPr>
          <w:rFonts w:hint="eastAsia" w:ascii="宋体" w:hAnsi="宋体" w:cs="宋体"/>
          <w:sz w:val="21"/>
          <w:szCs w:val="21"/>
          <w:highlight w:val="none"/>
          <w:lang w:val="en-US" w:eastAsia="zh-CN"/>
        </w:rPr>
        <w:t>2.2.4 工作量分配方案或原则：</w:t>
      </w:r>
      <w:r>
        <w:rPr>
          <w:rFonts w:hint="eastAsia" w:ascii="宋体" w:hAnsi="宋体" w:cs="宋体"/>
          <w:color w:val="0000C8"/>
          <w:sz w:val="21"/>
          <w:szCs w:val="21"/>
          <w:lang w:val="en-US" w:eastAsia="zh-CN"/>
        </w:rPr>
        <w:t>100%；</w:t>
      </w:r>
    </w:p>
    <w:p>
      <w:pPr>
        <w:spacing w:line="288" w:lineRule="auto"/>
        <w:ind w:left="440" w:leftChars="200"/>
        <w:rPr>
          <w:rFonts w:hint="eastAsia" w:ascii="宋体" w:hAnsi="宋体" w:cs="宋体"/>
          <w:color w:val="333333"/>
          <w:sz w:val="21"/>
          <w:szCs w:val="21"/>
        </w:rPr>
      </w:pPr>
      <w:r>
        <w:rPr>
          <w:rFonts w:hint="eastAsia" w:ascii="宋体" w:hAnsi="宋体" w:cs="宋体"/>
          <w:color w:val="333333"/>
          <w:sz w:val="21"/>
          <w:szCs w:val="21"/>
        </w:rPr>
        <w:t>2.3其他</w:t>
      </w:r>
    </w:p>
    <w:p>
      <w:pPr>
        <w:spacing w:line="288" w:lineRule="auto"/>
        <w:ind w:left="440" w:leftChars="200"/>
        <w:rPr>
          <w:rFonts w:hint="default" w:ascii="宋体" w:hAnsi="宋体" w:eastAsia="宋体" w:cs="宋体"/>
          <w:color w:val="333333"/>
          <w:sz w:val="21"/>
          <w:szCs w:val="21"/>
          <w:highlight w:val="none"/>
          <w:lang w:val="en-US" w:eastAsia="zh-CN"/>
        </w:rPr>
      </w:pPr>
      <w:r>
        <w:rPr>
          <w:rFonts w:hint="eastAsia" w:ascii="宋体" w:hAnsi="宋体" w:cs="宋体"/>
          <w:color w:val="333333"/>
          <w:sz w:val="21"/>
          <w:szCs w:val="21"/>
          <w:highlight w:val="none"/>
          <w:lang w:val="en-US" w:eastAsia="zh-CN"/>
        </w:rPr>
        <w:t>2.3.1投标保证金：具体要求见招标文件投标人须知前附表3.4.1；</w:t>
      </w:r>
    </w:p>
    <w:p>
      <w:pPr>
        <w:snapToGrid w:val="0"/>
        <w:spacing w:line="288" w:lineRule="auto"/>
        <w:ind w:firstLine="420" w:firstLineChars="200"/>
        <w:rPr>
          <w:rFonts w:hint="eastAsia" w:ascii="宋体" w:hAnsi="宋体" w:cs="宋体"/>
          <w:sz w:val="21"/>
          <w:szCs w:val="21"/>
          <w:lang w:val="en-US" w:eastAsia="zh-CN"/>
        </w:rPr>
      </w:pPr>
      <w:r>
        <w:rPr>
          <w:rFonts w:hint="eastAsia" w:ascii="宋体" w:hAnsi="宋体" w:cs="宋体"/>
          <w:color w:val="333333"/>
          <w:sz w:val="21"/>
          <w:szCs w:val="21"/>
        </w:rPr>
        <w:t>2.3.</w:t>
      </w:r>
      <w:r>
        <w:rPr>
          <w:rFonts w:hint="eastAsia" w:ascii="宋体" w:hAnsi="宋体" w:cs="宋体"/>
          <w:color w:val="333333"/>
          <w:sz w:val="21"/>
          <w:szCs w:val="21"/>
          <w:lang w:val="en-US" w:eastAsia="zh-CN"/>
        </w:rPr>
        <w:t>2</w:t>
      </w:r>
      <w:r>
        <w:rPr>
          <w:rFonts w:hint="eastAsia" w:ascii="宋体" w:hAnsi="宋体" w:cs="宋体"/>
          <w:color w:val="333333"/>
          <w:sz w:val="21"/>
          <w:szCs w:val="21"/>
        </w:rPr>
        <w:t xml:space="preserve"> </w:t>
      </w:r>
      <w:r>
        <w:rPr>
          <w:rFonts w:hint="eastAsia" w:ascii="宋体" w:hAnsi="宋体" w:cs="宋体"/>
          <w:sz w:val="21"/>
          <w:szCs w:val="21"/>
        </w:rPr>
        <w:t>履约保证金：</w:t>
      </w:r>
      <w:r>
        <w:rPr>
          <w:rFonts w:hint="eastAsia" w:ascii="宋体" w:hAnsi="宋体" w:cs="宋体"/>
          <w:sz w:val="21"/>
          <w:szCs w:val="21"/>
          <w:lang w:val="zh-CN"/>
        </w:rPr>
        <w:t>合同签订前，收取中标人履约保证金，收取标准为中标额度（不含税）的3%；最高不超50万。履约保证期限与合同有效期一致；</w:t>
      </w:r>
    </w:p>
    <w:p>
      <w:pPr>
        <w:snapToGrid w:val="0"/>
        <w:spacing w:line="288" w:lineRule="auto"/>
        <w:ind w:firstLine="420" w:firstLineChars="200"/>
        <w:rPr>
          <w:rFonts w:hint="eastAsia" w:ascii="宋体" w:hAnsi="宋体" w:cs="宋体"/>
          <w:sz w:val="21"/>
          <w:szCs w:val="21"/>
          <w:lang w:eastAsia="zh-CN"/>
        </w:rPr>
      </w:pPr>
      <w:r>
        <w:rPr>
          <w:rFonts w:hint="eastAsia" w:ascii="宋体" w:hAnsi="宋体" w:cs="宋体"/>
          <w:sz w:val="21"/>
          <w:szCs w:val="21"/>
        </w:rPr>
        <w:t>2.3.</w:t>
      </w:r>
      <w:r>
        <w:rPr>
          <w:rFonts w:hint="eastAsia" w:ascii="宋体" w:hAnsi="宋体" w:cs="宋体"/>
          <w:sz w:val="21"/>
          <w:szCs w:val="21"/>
          <w:lang w:val="en-US" w:eastAsia="zh-CN"/>
        </w:rPr>
        <w:t>3</w:t>
      </w:r>
      <w:r>
        <w:rPr>
          <w:rFonts w:hint="eastAsia" w:ascii="宋体" w:hAnsi="宋体" w:cs="宋体"/>
          <w:sz w:val="21"/>
          <w:szCs w:val="21"/>
        </w:rPr>
        <w:t>服务费：</w:t>
      </w:r>
      <w:r>
        <w:rPr>
          <w:rFonts w:hint="eastAsia" w:ascii="宋体" w:hAnsi="宋体" w:cs="宋体"/>
          <w:sz w:val="21"/>
          <w:szCs w:val="21"/>
          <w:lang w:val="zh-CN"/>
        </w:rPr>
        <w:t>收取中标人采购服务费，收取标准为合同挂账金额（不含税）的2%</w:t>
      </w:r>
      <w:r>
        <w:rPr>
          <w:rFonts w:hint="eastAsia" w:ascii="宋体" w:hAnsi="宋体" w:cs="宋体"/>
          <w:sz w:val="21"/>
          <w:szCs w:val="21"/>
          <w:lang w:eastAsia="zh-CN"/>
        </w:rPr>
        <w:t>；</w:t>
      </w:r>
    </w:p>
    <w:p>
      <w:pPr>
        <w:snapToGrid w:val="0"/>
        <w:spacing w:line="288" w:lineRule="auto"/>
        <w:ind w:firstLine="420" w:firstLineChars="200"/>
        <w:rPr>
          <w:rFonts w:hint="default" w:ascii="宋体" w:hAnsi="宋体" w:cs="宋体"/>
          <w:sz w:val="21"/>
          <w:szCs w:val="21"/>
          <w:lang w:val="en-US" w:eastAsia="zh-CN"/>
        </w:rPr>
      </w:pPr>
      <w:r>
        <w:rPr>
          <w:rFonts w:hint="eastAsia" w:ascii="宋体" w:hAnsi="宋体" w:cs="宋体"/>
          <w:sz w:val="21"/>
          <w:szCs w:val="21"/>
          <w:lang w:val="en-US" w:eastAsia="zh-CN"/>
        </w:rPr>
        <w:t>2.3.4考察：</w:t>
      </w:r>
      <w:r>
        <w:rPr>
          <w:rFonts w:hint="eastAsia" w:ascii="宋体" w:hAnsi="宋体" w:cs="宋体"/>
          <w:sz w:val="21"/>
          <w:szCs w:val="21"/>
          <w:lang w:val="zh-CN"/>
        </w:rPr>
        <w:t>招标人保留对拟中标人考察权利，考察内容及程序按中油集团公司供应商考察规定执行。考察通过后下发《中标通知书》，办理市场准入；</w:t>
      </w:r>
    </w:p>
    <w:p>
      <w:pPr>
        <w:snapToGrid w:val="0"/>
        <w:spacing w:line="288" w:lineRule="auto"/>
        <w:ind w:firstLine="420" w:firstLineChars="200"/>
        <w:rPr>
          <w:rFonts w:hint="eastAsia" w:ascii="宋体" w:hAnsi="宋体" w:cs="宋体"/>
          <w:color w:val="0000CC"/>
          <w:sz w:val="21"/>
          <w:szCs w:val="21"/>
          <w:highlight w:val="none"/>
        </w:rPr>
      </w:pPr>
      <w:r>
        <w:rPr>
          <w:rFonts w:hint="eastAsia" w:ascii="宋体" w:hAnsi="宋体" w:cs="宋体"/>
          <w:color w:val="0000C8"/>
          <w:sz w:val="21"/>
          <w:szCs w:val="21"/>
          <w:highlight w:val="none"/>
        </w:rPr>
        <w:t>2.3.</w:t>
      </w:r>
      <w:r>
        <w:rPr>
          <w:rFonts w:hint="eastAsia" w:ascii="宋体" w:hAnsi="宋体" w:cs="宋体"/>
          <w:color w:val="0000C8"/>
          <w:sz w:val="21"/>
          <w:szCs w:val="21"/>
          <w:highlight w:val="none"/>
          <w:lang w:val="en-US" w:eastAsia="zh-CN"/>
        </w:rPr>
        <w:t>5</w:t>
      </w:r>
      <w:r>
        <w:rPr>
          <w:rFonts w:hint="eastAsia" w:ascii="宋体" w:hAnsi="宋体" w:cs="宋体"/>
          <w:color w:val="0000C8"/>
          <w:sz w:val="21"/>
          <w:szCs w:val="21"/>
          <w:highlight w:val="none"/>
        </w:rPr>
        <w:t>其他：无。</w:t>
      </w:r>
    </w:p>
    <w:p>
      <w:bookmarkStart w:id="12" w:name="_Toc347209680"/>
      <w:bookmarkStart w:id="13" w:name="_Toc347086985"/>
      <w:bookmarkStart w:id="14" w:name="_Toc17902423"/>
      <w:bookmarkStart w:id="15" w:name="_Toc520895296"/>
      <w:bookmarkStart w:id="16" w:name="_Toc347086851"/>
      <w:r>
        <w:rPr>
          <w:rFonts w:hint="eastAsia" w:ascii="Arial" w:hAnsi="Arial" w:eastAsia="黑体"/>
          <w:b/>
          <w:bCs/>
          <w:kern w:val="2"/>
          <w:sz w:val="32"/>
          <w:szCs w:val="32"/>
        </w:rPr>
        <w:t>3.投标人资格要求</w:t>
      </w:r>
      <w:bookmarkEnd w:id="12"/>
      <w:bookmarkEnd w:id="13"/>
      <w:bookmarkEnd w:id="14"/>
      <w:bookmarkEnd w:id="15"/>
      <w:bookmarkEnd w:id="16"/>
    </w:p>
    <w:p>
      <w:pPr>
        <w:snapToGrid w:val="0"/>
        <w:spacing w:line="288" w:lineRule="auto"/>
        <w:ind w:firstLine="422" w:firstLineChars="200"/>
        <w:rPr>
          <w:rFonts w:hint="eastAsia" w:ascii="宋体" w:hAnsi="宋体" w:cs="宋体"/>
          <w:b/>
          <w:bCs/>
          <w:sz w:val="21"/>
          <w:szCs w:val="21"/>
        </w:rPr>
      </w:pPr>
      <w:bookmarkStart w:id="17" w:name="_Toc347209681"/>
      <w:bookmarkStart w:id="18" w:name="_Toc347086986"/>
      <w:bookmarkStart w:id="19" w:name="_Toc347086852"/>
      <w:bookmarkStart w:id="20" w:name="_Toc520895297"/>
      <w:r>
        <w:rPr>
          <w:rFonts w:hint="eastAsia" w:ascii="宋体" w:hAnsi="宋体" w:cs="宋体"/>
          <w:b/>
          <w:bCs/>
          <w:sz w:val="21"/>
          <w:szCs w:val="21"/>
        </w:rPr>
        <w:t>3.1商务资格条件</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3.1.1境内注册的独立法人，经营范围满足本招标项目要求，注册资金不低于200万元人民币的制造商（投标人须提供营业执照和国家企业信用信息公示系统经营范围截屏；投标人营业执照登记信息和经营范围须与“国家企业信用信息公示系统”信息一致，评审现场网络查询复核）；</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3.1.2提供会计师事务所出具标准的上年度（2019年）无保留意见审计报告（附资产负债表），且资产负债率低于100%，当年新成立公司和高等院校，不予提供相关财务信息和审计报告。</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3.1.3</w:t>
      </w:r>
      <w:r>
        <w:rPr>
          <w:rFonts w:hint="eastAsia" w:ascii="宋体" w:hAnsi="宋体" w:cs="宋体"/>
          <w:color w:val="0000C8"/>
          <w:sz w:val="21"/>
          <w:szCs w:val="21"/>
          <w:lang w:val="zh-CN"/>
        </w:rPr>
        <w:t>代理商投标提供代理产品生产企业《代理产品授权委托书》。（注：同一品牌的制造商只能授权一家代理商投标，且同一品牌制造商和代理商不能同时参与本项目投标，否则同一品牌的投标人均否决投标）。</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3.1.4近三年内(2017年1月1日至投标截止时间)，投标人在“国家企业信用信息公示系统”（www.gsxt.gov.cn），不存在与投标项目一致的“行政处罚信息”，不存在未移出的“列入经营异常名录信息”，不存在“列入严重违法失信企业名单（黑名单）信息”；并按要求进行年度报告。（投标人须提供“国家企业信用信息公示系统”关于“行政处罚信息”、“列入经营异常名录信息”、“列入严重违法失信企业名单（黑名单）信息”、“企业年报信息”的查询截屏，评审现场网络查询复核）</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w:t>
      </w:r>
      <w:r>
        <w:rPr>
          <w:rFonts w:hint="eastAsia" w:ascii="宋体" w:hAnsi="宋体" w:cs="宋体"/>
          <w:color w:val="0000C8"/>
          <w:sz w:val="21"/>
          <w:szCs w:val="21"/>
          <w:lang w:val="en-US" w:eastAsia="zh-CN"/>
        </w:rPr>
        <w:t>5</w:t>
      </w:r>
      <w:r>
        <w:rPr>
          <w:rFonts w:hint="eastAsia" w:ascii="宋体" w:hAnsi="宋体" w:cs="宋体"/>
          <w:color w:val="0000C8"/>
          <w:sz w:val="21"/>
          <w:szCs w:val="21"/>
        </w:rPr>
        <w:t>投标人在“中国执行信息公开网”(http://zxgk.court.gov.cn) 未被列为“失信被执行人”。（投标人须提供“中国执行信息公开网”关于“失信被执行人”的查询截屏，评审现场网络查询复核）</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w:t>
      </w:r>
      <w:r>
        <w:rPr>
          <w:rFonts w:hint="eastAsia" w:ascii="宋体" w:hAnsi="宋体" w:cs="宋体"/>
          <w:color w:val="0000C8"/>
          <w:sz w:val="21"/>
          <w:szCs w:val="21"/>
          <w:lang w:val="en-US" w:eastAsia="zh-CN"/>
        </w:rPr>
        <w:t>6</w:t>
      </w:r>
      <w:r>
        <w:rPr>
          <w:rFonts w:hint="eastAsia" w:ascii="宋体" w:hAnsi="宋体" w:cs="宋体"/>
          <w:color w:val="0000C8"/>
          <w:sz w:val="21"/>
          <w:szCs w:val="21"/>
        </w:rPr>
        <w:t>本次招标不接受联合体投标，不允许分包；</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w:t>
      </w:r>
      <w:r>
        <w:rPr>
          <w:rFonts w:hint="eastAsia" w:ascii="宋体" w:hAnsi="宋体" w:cs="宋体"/>
          <w:color w:val="0000C8"/>
          <w:sz w:val="21"/>
          <w:szCs w:val="21"/>
          <w:lang w:val="en-US" w:eastAsia="zh-CN"/>
        </w:rPr>
        <w:t>7</w:t>
      </w:r>
      <w:r>
        <w:rPr>
          <w:rFonts w:hint="eastAsia" w:ascii="宋体" w:hAnsi="宋体" w:cs="宋体"/>
          <w:color w:val="0000C8"/>
          <w:sz w:val="21"/>
          <w:szCs w:val="21"/>
        </w:rPr>
        <w:t>没有处于被责令停业，投标资格被取消，财产被接管、冻结，破产状态；（承诺）</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w:t>
      </w:r>
      <w:r>
        <w:rPr>
          <w:rFonts w:hint="eastAsia" w:ascii="宋体" w:hAnsi="宋体" w:cs="宋体"/>
          <w:color w:val="0000C8"/>
          <w:sz w:val="21"/>
          <w:szCs w:val="21"/>
          <w:lang w:val="en-US" w:eastAsia="zh-CN"/>
        </w:rPr>
        <w:t>8</w:t>
      </w:r>
      <w:r>
        <w:rPr>
          <w:rFonts w:hint="eastAsia" w:ascii="宋体" w:hAnsi="宋体" w:cs="宋体"/>
          <w:color w:val="0000C8"/>
          <w:sz w:val="21"/>
          <w:szCs w:val="21"/>
        </w:rPr>
        <w:t>单位负责人为同一人或者控股、管理关系的不同单位，不得参加同一标段投标或者未划分标段的同一招标项目投标；（承诺）</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w:t>
      </w:r>
      <w:r>
        <w:rPr>
          <w:rFonts w:hint="eastAsia" w:ascii="宋体" w:hAnsi="宋体" w:cs="宋体"/>
          <w:color w:val="0000C8"/>
          <w:sz w:val="21"/>
          <w:szCs w:val="21"/>
          <w:lang w:val="en-US" w:eastAsia="zh-CN"/>
        </w:rPr>
        <w:t>9</w:t>
      </w:r>
      <w:r>
        <w:rPr>
          <w:rFonts w:hint="eastAsia" w:ascii="宋体" w:hAnsi="宋体" w:cs="宋体"/>
          <w:color w:val="0000C8"/>
          <w:sz w:val="21"/>
          <w:szCs w:val="21"/>
        </w:rPr>
        <w:t>近三年（2017年1月1日至投标截止时间），在国家、行业、集团公司以及地方政府质量监督检查中无重大质量问题及事故；（承诺）</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3.1.1</w:t>
      </w:r>
      <w:r>
        <w:rPr>
          <w:rFonts w:hint="eastAsia" w:ascii="宋体" w:hAnsi="宋体" w:cs="宋体"/>
          <w:color w:val="0000C8"/>
          <w:sz w:val="21"/>
          <w:szCs w:val="21"/>
          <w:lang w:val="en-US" w:eastAsia="zh-CN"/>
        </w:rPr>
        <w:t>0</w:t>
      </w:r>
      <w:r>
        <w:rPr>
          <w:rFonts w:hint="eastAsia" w:ascii="宋体" w:hAnsi="宋体" w:cs="宋体"/>
          <w:color w:val="0000C8"/>
          <w:sz w:val="21"/>
          <w:szCs w:val="21"/>
        </w:rPr>
        <w:t>与集团公司及所属企业无重大法律纠纷；（承诺）</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3.1.1</w:t>
      </w:r>
      <w:r>
        <w:rPr>
          <w:rFonts w:hint="eastAsia" w:ascii="宋体" w:hAnsi="宋体" w:cs="宋体"/>
          <w:color w:val="0000C8"/>
          <w:sz w:val="21"/>
          <w:szCs w:val="21"/>
          <w:lang w:val="en-US" w:eastAsia="zh-CN"/>
        </w:rPr>
        <w:t>1</w:t>
      </w:r>
      <w:r>
        <w:rPr>
          <w:rFonts w:hint="eastAsia" w:ascii="宋体" w:hAnsi="宋体" w:cs="宋体"/>
          <w:color w:val="0000C8"/>
          <w:sz w:val="21"/>
          <w:szCs w:val="21"/>
        </w:rPr>
        <w:t>投标人有良好的商业信誉和健全的财务会计制度；（承诺）</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3.1.1</w:t>
      </w:r>
      <w:r>
        <w:rPr>
          <w:rFonts w:hint="eastAsia" w:ascii="宋体" w:hAnsi="宋体" w:cs="宋体"/>
          <w:color w:val="0000C8"/>
          <w:sz w:val="21"/>
          <w:szCs w:val="21"/>
          <w:lang w:val="en-US" w:eastAsia="zh-CN"/>
        </w:rPr>
        <w:t>2</w:t>
      </w:r>
      <w:r>
        <w:rPr>
          <w:rFonts w:hint="eastAsia" w:ascii="宋体" w:hAnsi="宋体" w:cs="宋体"/>
          <w:color w:val="0000C8"/>
          <w:sz w:val="21"/>
          <w:szCs w:val="21"/>
        </w:rPr>
        <w:t>法律、行政法规规定的其他条件；（承诺）</w:t>
      </w:r>
    </w:p>
    <w:p>
      <w:pPr>
        <w:keepNext w:val="0"/>
        <w:keepLines w:val="0"/>
        <w:pageBreakBefore w:val="0"/>
        <w:widowControl/>
        <w:kinsoku/>
        <w:wordWrap/>
        <w:topLinePunct w:val="0"/>
        <w:autoSpaceDE/>
        <w:autoSpaceDN/>
        <w:bidi w:val="0"/>
        <w:adjustRightInd/>
        <w:snapToGrid w:val="0"/>
        <w:spacing w:line="288" w:lineRule="auto"/>
        <w:ind w:firstLine="422" w:firstLineChars="200"/>
        <w:textAlignment w:val="auto"/>
        <w:rPr>
          <w:rFonts w:hint="eastAsia" w:ascii="宋体" w:hAnsi="宋体" w:cs="宋体"/>
          <w:b/>
          <w:bCs/>
          <w:sz w:val="21"/>
          <w:szCs w:val="21"/>
          <w:highlight w:val="none"/>
        </w:rPr>
      </w:pPr>
      <w:r>
        <w:rPr>
          <w:rFonts w:hint="eastAsia" w:ascii="宋体" w:hAnsi="宋体" w:cs="宋体"/>
          <w:b/>
          <w:bCs/>
          <w:sz w:val="21"/>
          <w:szCs w:val="21"/>
          <w:highlight w:val="none"/>
        </w:rPr>
        <w:t>3.2技术资格条件</w:t>
      </w:r>
    </w:p>
    <w:p>
      <w:pPr>
        <w:spacing w:line="288" w:lineRule="auto"/>
        <w:ind w:firstLine="420" w:firstLineChars="200"/>
        <w:rPr>
          <w:rFonts w:hint="eastAsia" w:ascii="宋体" w:hAnsi="宋体" w:cs="宋体"/>
          <w:color w:val="0000C8"/>
          <w:sz w:val="21"/>
          <w:szCs w:val="21"/>
          <w:lang w:val="en-US" w:eastAsia="zh-CN"/>
        </w:rPr>
      </w:pPr>
      <w:bookmarkStart w:id="21" w:name="_Toc17902424"/>
      <w:r>
        <w:rPr>
          <w:rFonts w:hint="eastAsia" w:ascii="宋体" w:hAnsi="宋体" w:cs="宋体"/>
          <w:color w:val="0000C8"/>
          <w:sz w:val="21"/>
          <w:szCs w:val="21"/>
          <w:lang w:val="en-US" w:eastAsia="zh-CN"/>
        </w:rPr>
        <w:t>3.2.1承诺所提供的产品必须附带有合格的《安全技术说明书》和《安全标签》，并《安全技术说明书》和《安全标签》与所提供的产品性质一致。《安全技术说明书》与《安全标签》的编制应严格按照《GB 15258-2009化学品安全标签编写规定》、《GB/T 17519-2013化学品安全技术说明书编写指南》、《GB/T 16483-2008化学品安全技术说明书》中的要求。</w:t>
      </w:r>
    </w:p>
    <w:p>
      <w:pPr>
        <w:spacing w:line="288" w:lineRule="auto"/>
        <w:ind w:firstLine="420" w:firstLineChars="200"/>
        <w:rPr>
          <w:rFonts w:hint="default" w:ascii="宋体" w:hAnsi="宋体" w:cs="宋体"/>
          <w:color w:val="0000C8"/>
          <w:sz w:val="21"/>
          <w:szCs w:val="21"/>
          <w:lang w:val="en-US" w:eastAsia="zh-CN"/>
        </w:rPr>
      </w:pPr>
      <w:r>
        <w:rPr>
          <w:rFonts w:hint="eastAsia" w:ascii="宋体" w:hAnsi="宋体" w:cs="宋体"/>
          <w:color w:val="0000C8"/>
          <w:sz w:val="21"/>
          <w:szCs w:val="21"/>
          <w:lang w:val="en-US" w:eastAsia="zh-CN"/>
        </w:rPr>
        <w:t>3.2.2</w:t>
      </w:r>
      <w:r>
        <w:rPr>
          <w:rFonts w:hint="eastAsia" w:ascii="宋体" w:hAnsi="宋体" w:cs="宋体"/>
          <w:color w:val="0000C8"/>
          <w:sz w:val="21"/>
          <w:szCs w:val="21"/>
        </w:rPr>
        <w:t xml:space="preserve"> 投标人必须全部满足技术要求*条款，同时对非*条款作出承诺。</w:t>
      </w:r>
    </w:p>
    <w:p>
      <w:pPr>
        <w:rPr>
          <w:rFonts w:hint="eastAsia" w:ascii="Arial" w:hAnsi="Arial" w:eastAsia="黑体"/>
          <w:b/>
          <w:bCs/>
          <w:kern w:val="2"/>
          <w:sz w:val="32"/>
          <w:szCs w:val="32"/>
        </w:rPr>
      </w:pPr>
      <w:r>
        <w:rPr>
          <w:rFonts w:hint="eastAsia" w:ascii="Arial" w:hAnsi="Arial" w:eastAsia="黑体"/>
          <w:b/>
          <w:bCs/>
          <w:kern w:val="2"/>
          <w:sz w:val="32"/>
          <w:szCs w:val="32"/>
        </w:rPr>
        <w:t>4.招标文件的获取</w:t>
      </w:r>
      <w:bookmarkEnd w:id="17"/>
      <w:bookmarkEnd w:id="18"/>
      <w:bookmarkEnd w:id="19"/>
      <w:bookmarkEnd w:id="20"/>
      <w:bookmarkEnd w:id="21"/>
    </w:p>
    <w:p>
      <w:pPr>
        <w:spacing w:line="288" w:lineRule="auto"/>
        <w:ind w:firstLine="420" w:firstLineChars="200"/>
        <w:rPr>
          <w:rFonts w:hint="eastAsia" w:ascii="宋体" w:hAnsi="宋体" w:cs="宋体"/>
          <w:sz w:val="21"/>
          <w:szCs w:val="21"/>
        </w:rPr>
      </w:pPr>
      <w:r>
        <w:rPr>
          <w:rFonts w:hint="eastAsia" w:ascii="宋体" w:hAnsi="宋体" w:cs="宋体"/>
          <w:sz w:val="21"/>
          <w:szCs w:val="21"/>
        </w:rPr>
        <w:t>4.1 凡有意参加投标的潜在投标人，请于</w:t>
      </w:r>
      <w:r>
        <w:rPr>
          <w:rFonts w:hint="eastAsia" w:ascii="宋体" w:hAnsi="宋体" w:cs="宋体"/>
          <w:sz w:val="21"/>
          <w:szCs w:val="21"/>
          <w:highlight w:val="none"/>
        </w:rPr>
        <w:t>北京时间</w:t>
      </w:r>
      <w:r>
        <w:rPr>
          <w:rFonts w:hint="eastAsia" w:ascii="宋体" w:hAnsi="宋体" w:cs="宋体"/>
          <w:color w:val="0000C8"/>
          <w:sz w:val="21"/>
          <w:szCs w:val="21"/>
          <w:highlight w:val="none"/>
        </w:rPr>
        <w:t xml:space="preserve"> 20</w:t>
      </w:r>
      <w:r>
        <w:rPr>
          <w:rFonts w:hint="eastAsia" w:ascii="宋体" w:hAnsi="宋体" w:cs="宋体"/>
          <w:color w:val="0000C8"/>
          <w:sz w:val="21"/>
          <w:szCs w:val="21"/>
          <w:highlight w:val="none"/>
          <w:lang w:val="en-US" w:eastAsia="zh-CN"/>
        </w:rPr>
        <w:t>20</w:t>
      </w:r>
      <w:r>
        <w:rPr>
          <w:rFonts w:hint="eastAsia" w:ascii="宋体" w:hAnsi="宋体" w:cs="宋体"/>
          <w:color w:val="0000C8"/>
          <w:sz w:val="21"/>
          <w:szCs w:val="21"/>
          <w:highlight w:val="none"/>
        </w:rPr>
        <w:t>年</w:t>
      </w:r>
      <w:r>
        <w:rPr>
          <w:rFonts w:hint="eastAsia" w:ascii="宋体" w:hAnsi="宋体" w:cs="宋体"/>
          <w:color w:val="0000C8"/>
          <w:sz w:val="21"/>
          <w:szCs w:val="21"/>
          <w:highlight w:val="none"/>
          <w:lang w:val="en-US" w:eastAsia="zh-CN"/>
        </w:rPr>
        <w:t>8</w:t>
      </w:r>
      <w:r>
        <w:rPr>
          <w:rFonts w:hint="eastAsia" w:ascii="宋体" w:hAnsi="宋体" w:cs="宋体"/>
          <w:color w:val="0000C8"/>
          <w:sz w:val="21"/>
          <w:szCs w:val="21"/>
          <w:highlight w:val="none"/>
        </w:rPr>
        <w:t>月</w:t>
      </w:r>
      <w:r>
        <w:rPr>
          <w:rFonts w:hint="eastAsia" w:ascii="宋体" w:hAnsi="宋体" w:cs="宋体"/>
          <w:color w:val="0000C8"/>
          <w:sz w:val="21"/>
          <w:szCs w:val="21"/>
          <w:highlight w:val="none"/>
          <w:lang w:val="en-US" w:eastAsia="zh-CN"/>
        </w:rPr>
        <w:t>5</w:t>
      </w:r>
      <w:r>
        <w:rPr>
          <w:rFonts w:hint="eastAsia" w:ascii="宋体" w:hAnsi="宋体" w:cs="宋体"/>
          <w:color w:val="0000C8"/>
          <w:sz w:val="21"/>
          <w:szCs w:val="21"/>
          <w:highlight w:val="none"/>
        </w:rPr>
        <w:t>日至 20</w:t>
      </w:r>
      <w:r>
        <w:rPr>
          <w:rFonts w:hint="eastAsia" w:ascii="宋体" w:hAnsi="宋体" w:cs="宋体"/>
          <w:color w:val="0000C8"/>
          <w:sz w:val="21"/>
          <w:szCs w:val="21"/>
          <w:highlight w:val="none"/>
          <w:lang w:val="en-US" w:eastAsia="zh-CN"/>
        </w:rPr>
        <w:t>20</w:t>
      </w:r>
      <w:r>
        <w:rPr>
          <w:rFonts w:hint="eastAsia" w:ascii="宋体" w:hAnsi="宋体" w:cs="宋体"/>
          <w:color w:val="0000C8"/>
          <w:sz w:val="21"/>
          <w:szCs w:val="21"/>
          <w:highlight w:val="none"/>
        </w:rPr>
        <w:t>年</w:t>
      </w:r>
      <w:r>
        <w:rPr>
          <w:rFonts w:hint="eastAsia" w:ascii="宋体" w:hAnsi="宋体" w:cs="宋体"/>
          <w:color w:val="0000C8"/>
          <w:sz w:val="21"/>
          <w:szCs w:val="21"/>
          <w:highlight w:val="none"/>
          <w:lang w:val="en-US" w:eastAsia="zh-CN"/>
        </w:rPr>
        <w:t>8</w:t>
      </w:r>
      <w:r>
        <w:rPr>
          <w:rFonts w:hint="eastAsia" w:ascii="宋体" w:hAnsi="宋体" w:cs="宋体"/>
          <w:color w:val="0000C8"/>
          <w:sz w:val="21"/>
          <w:szCs w:val="21"/>
          <w:highlight w:val="none"/>
        </w:rPr>
        <w:t>月</w:t>
      </w:r>
      <w:r>
        <w:rPr>
          <w:rFonts w:hint="eastAsia" w:ascii="宋体" w:hAnsi="宋体" w:cs="宋体"/>
          <w:color w:val="0000C8"/>
          <w:sz w:val="21"/>
          <w:szCs w:val="21"/>
          <w:highlight w:val="none"/>
          <w:lang w:val="en-US" w:eastAsia="zh-CN"/>
        </w:rPr>
        <w:t>10</w:t>
      </w:r>
      <w:bookmarkStart w:id="38" w:name="_GoBack"/>
      <w:bookmarkEnd w:id="38"/>
      <w:r>
        <w:rPr>
          <w:rFonts w:hint="eastAsia" w:ascii="宋体" w:hAnsi="宋体" w:cs="宋体"/>
          <w:color w:val="0000C8"/>
          <w:sz w:val="21"/>
          <w:szCs w:val="21"/>
          <w:highlight w:val="none"/>
        </w:rPr>
        <w:t>日</w:t>
      </w:r>
      <w:r>
        <w:rPr>
          <w:rFonts w:hint="eastAsia" w:ascii="宋体" w:hAnsi="宋体" w:cs="宋体"/>
          <w:sz w:val="21"/>
          <w:szCs w:val="21"/>
          <w:highlight w:val="none"/>
        </w:rPr>
        <w:t>内</w:t>
      </w:r>
      <w:r>
        <w:rPr>
          <w:rFonts w:hint="eastAsia" w:ascii="宋体" w:hAnsi="宋体" w:cs="宋体"/>
          <w:sz w:val="21"/>
          <w:szCs w:val="21"/>
        </w:rPr>
        <w:t xml:space="preserve">完成以下两个步骤： </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①  办理本项目在线报名事宜。</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登录“中国石油招标投标网”，进入“中国石油电子招标投标交易平台”在线报名。（如未在“中国石油电子招标投标交易平台”上注册过的潜在投标人需要先注册并通过平台审核，审核通过后登录平台在“可报名项目”中找到本项目并完成在线报名，投标人注册</w:t>
      </w:r>
      <w:r>
        <w:rPr>
          <w:rFonts w:hint="eastAsia" w:ascii="宋体" w:hAnsi="宋体" w:cs="宋体"/>
          <w:sz w:val="21"/>
          <w:szCs w:val="21"/>
          <w:highlight w:val="none"/>
        </w:rPr>
        <w:t>请参考</w:t>
      </w:r>
      <w:r>
        <w:rPr>
          <w:rFonts w:hint="eastAsia" w:ascii="宋体" w:hAnsi="宋体" w:cs="宋体"/>
          <w:sz w:val="21"/>
          <w:szCs w:val="21"/>
          <w:highlight w:val="none"/>
          <w:lang w:eastAsia="zh-CN"/>
        </w:rPr>
        <w:t>中国石油招标投标网</w:t>
      </w:r>
      <w:r>
        <w:rPr>
          <w:rFonts w:hint="eastAsia" w:ascii="宋体" w:hAnsi="宋体" w:cs="宋体"/>
          <w:sz w:val="21"/>
          <w:szCs w:val="21"/>
          <w:highlight w:val="none"/>
          <w:lang w:val="en-US" w:eastAsia="zh-CN"/>
        </w:rPr>
        <w:t>-通知通告-操作指南-</w:t>
      </w:r>
      <w:r>
        <w:rPr>
          <w:rFonts w:hint="eastAsia" w:ascii="宋体" w:hAnsi="宋体" w:cs="宋体"/>
          <w:sz w:val="21"/>
          <w:szCs w:val="21"/>
          <w:highlight w:val="none"/>
        </w:rPr>
        <w:t>《电子招投标平台投标人账号注册及信息变更指南》，</w:t>
      </w:r>
      <w:r>
        <w:rPr>
          <w:rFonts w:hint="eastAsia" w:ascii="宋体" w:hAnsi="宋体" w:cs="宋体"/>
          <w:sz w:val="21"/>
          <w:szCs w:val="21"/>
        </w:rPr>
        <w:t>或拨打中国石油电子招标投标交易平台技术支持电话咨询。）</w:t>
      </w:r>
    </w:p>
    <w:p>
      <w:pPr>
        <w:spacing w:line="288" w:lineRule="auto"/>
        <w:rPr>
          <w:rFonts w:hint="eastAsia" w:ascii="宋体" w:hAnsi="宋体" w:cs="宋体"/>
          <w:sz w:val="21"/>
          <w:szCs w:val="21"/>
        </w:rPr>
      </w:pPr>
      <w:r>
        <w:rPr>
          <w:rFonts w:hint="eastAsia" w:ascii="宋体" w:hAnsi="宋体" w:cs="宋体"/>
          <w:color w:val="000000"/>
          <w:kern w:val="2"/>
          <w:sz w:val="21"/>
          <w:szCs w:val="21"/>
        </w:rPr>
        <w:t>注：</w:t>
      </w:r>
      <w:r>
        <w:rPr>
          <w:rFonts w:hint="eastAsia" w:ascii="宋体" w:hAnsi="宋体" w:cs="宋体"/>
          <w:sz w:val="21"/>
          <w:szCs w:val="21"/>
        </w:rPr>
        <w:t>中国石油电子招标投标交易平台：</w:t>
      </w:r>
      <w:r>
        <w:rPr>
          <w:rFonts w:hint="eastAsia" w:ascii="宋体" w:hAnsi="宋体" w:cs="宋体"/>
          <w:kern w:val="2"/>
          <w:sz w:val="21"/>
          <w:szCs w:val="21"/>
        </w:rPr>
        <w:t>http://ebidmanage.cnpcbidding.com/bidder/ebid/base/login.html</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②办理本项目标书费缴纳事宜。</w:t>
      </w:r>
    </w:p>
    <w:p>
      <w:pPr>
        <w:spacing w:line="288" w:lineRule="auto"/>
        <w:ind w:firstLine="420" w:firstLineChars="200"/>
        <w:rPr>
          <w:rFonts w:hint="eastAsia" w:ascii="宋体" w:hAnsi="宋体" w:cs="宋体"/>
          <w:color w:val="FF0000"/>
          <w:kern w:val="2"/>
          <w:sz w:val="21"/>
          <w:szCs w:val="21"/>
        </w:rPr>
      </w:pPr>
      <w:r>
        <w:rPr>
          <w:rFonts w:hint="eastAsia" w:ascii="宋体" w:hAnsi="宋体" w:cs="宋体"/>
          <w:color w:val="333333"/>
          <w:sz w:val="21"/>
          <w:szCs w:val="21"/>
        </w:rPr>
        <w:t>登陆“中国石油电子招标投标交易平台”，选择“已报名项目”进行购买招标文件操作</w:t>
      </w:r>
      <w:r>
        <w:rPr>
          <w:rFonts w:hint="eastAsia" w:ascii="宋体" w:hAnsi="宋体" w:cs="宋体"/>
          <w:kern w:val="2"/>
          <w:sz w:val="21"/>
          <w:szCs w:val="21"/>
        </w:rPr>
        <w:t>。</w:t>
      </w:r>
      <w:r>
        <w:rPr>
          <w:rFonts w:hint="eastAsia" w:ascii="宋体" w:hAnsi="宋体" w:cs="宋体"/>
          <w:color w:val="FF0000"/>
          <w:kern w:val="2"/>
          <w:sz w:val="21"/>
          <w:szCs w:val="21"/>
        </w:rPr>
        <w:t>购买招标文件采用网上支付的方式，系统仅支持个人网银支付。</w:t>
      </w:r>
    </w:p>
    <w:p>
      <w:pPr>
        <w:spacing w:line="288" w:lineRule="auto"/>
        <w:ind w:firstLine="420" w:firstLineChars="200"/>
        <w:rPr>
          <w:rFonts w:hint="eastAsia" w:ascii="宋体" w:hAnsi="宋体" w:cs="宋体"/>
          <w:b/>
          <w:bCs/>
          <w:color w:val="000000"/>
          <w:kern w:val="2"/>
          <w:sz w:val="21"/>
          <w:szCs w:val="21"/>
        </w:rPr>
      </w:pPr>
      <w:r>
        <w:rPr>
          <w:rFonts w:hint="eastAsia" w:ascii="宋体" w:hAnsi="宋体" w:cs="宋体"/>
          <w:color w:val="000000"/>
          <w:kern w:val="2"/>
          <w:sz w:val="21"/>
          <w:szCs w:val="21"/>
        </w:rPr>
        <w:t>详细操作步骤参见</w:t>
      </w:r>
      <w:r>
        <w:rPr>
          <w:rFonts w:hint="eastAsia" w:ascii="宋体" w:hAnsi="宋体" w:cs="宋体"/>
          <w:b/>
          <w:bCs/>
          <w:color w:val="000000"/>
          <w:kern w:val="2"/>
          <w:sz w:val="21"/>
          <w:szCs w:val="21"/>
        </w:rPr>
        <w:t>《工具中心-投标人用户手册》。</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4.2招标文件每个标包售价为</w:t>
      </w:r>
      <w:r>
        <w:rPr>
          <w:rFonts w:hint="eastAsia" w:ascii="宋体" w:hAnsi="宋体" w:cs="宋体"/>
          <w:color w:val="0000C8"/>
          <w:sz w:val="21"/>
          <w:szCs w:val="21"/>
        </w:rPr>
        <w:t>500</w:t>
      </w:r>
      <w:r>
        <w:rPr>
          <w:rFonts w:hint="eastAsia" w:ascii="宋体" w:hAnsi="宋体" w:cs="宋体"/>
          <w:sz w:val="21"/>
          <w:szCs w:val="21"/>
        </w:rPr>
        <w:t xml:space="preserve">元人民币，请有意参加投标的潜在投标人确认自身资格条件是否满足投标人资格要求，售后不退，应自负其责。 </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 xml:space="preserve">4.3本次招标文件采取线上发售的方式。潜在投标人按照4.1条款要求购买招标文件后，可登录“中国石油电子招标投标交易平台”下载招标文件。 </w:t>
      </w:r>
    </w:p>
    <w:p>
      <w:pPr>
        <w:spacing w:line="288" w:lineRule="auto"/>
        <w:ind w:firstLine="420" w:firstLineChars="200"/>
        <w:rPr>
          <w:rFonts w:hint="eastAsia" w:ascii="宋体" w:hAnsi="宋体" w:cs="宋体"/>
          <w:bCs/>
          <w:sz w:val="21"/>
          <w:szCs w:val="21"/>
          <w:highlight w:val="none"/>
        </w:rPr>
      </w:pPr>
      <w:r>
        <w:rPr>
          <w:rFonts w:hint="eastAsia" w:ascii="宋体" w:hAnsi="宋体" w:cs="宋体"/>
          <w:sz w:val="21"/>
          <w:szCs w:val="21"/>
        </w:rPr>
        <w:t>4.4此次招标采购项目为全流程网上操作，供应商需要使用 U-key才能完成投标工作，因此要求所有参与本项目投标的供应商必须办理U-key。</w:t>
      </w:r>
      <w:r>
        <w:rPr>
          <w:rFonts w:hint="eastAsia" w:ascii="宋体" w:hAnsi="宋体" w:cs="宋体"/>
          <w:color w:val="333333"/>
          <w:sz w:val="21"/>
          <w:szCs w:val="21"/>
        </w:rPr>
        <w:t>中石油电子商务</w:t>
      </w:r>
      <w:r>
        <w:rPr>
          <w:rFonts w:hint="eastAsia" w:ascii="宋体" w:hAnsi="宋体" w:cs="宋体"/>
          <w:bCs/>
          <w:color w:val="000000"/>
          <w:sz w:val="21"/>
          <w:szCs w:val="21"/>
        </w:rPr>
        <w:t>U-Key办理</w:t>
      </w:r>
      <w:r>
        <w:rPr>
          <w:rFonts w:hint="eastAsia" w:ascii="宋体" w:hAnsi="宋体" w:cs="宋体"/>
          <w:bCs/>
          <w:color w:val="000000"/>
          <w:sz w:val="21"/>
          <w:szCs w:val="21"/>
          <w:highlight w:val="none"/>
        </w:rPr>
        <w:t>流程详见</w:t>
      </w:r>
      <w:r>
        <w:rPr>
          <w:rFonts w:hint="eastAsia" w:ascii="宋体" w:hAnsi="宋体" w:cs="宋体"/>
          <w:sz w:val="21"/>
          <w:szCs w:val="21"/>
          <w:highlight w:val="none"/>
          <w:lang w:eastAsia="zh-CN"/>
        </w:rPr>
        <w:t>中国石油招标投标网</w:t>
      </w:r>
      <w:r>
        <w:rPr>
          <w:rFonts w:hint="eastAsia" w:ascii="宋体" w:hAnsi="宋体" w:cs="宋体"/>
          <w:sz w:val="21"/>
          <w:szCs w:val="21"/>
          <w:highlight w:val="none"/>
          <w:lang w:val="en-US" w:eastAsia="zh-CN"/>
        </w:rPr>
        <w:t>-通知通告-操作指南-</w:t>
      </w:r>
      <w:r>
        <w:rPr>
          <w:rFonts w:hint="eastAsia" w:ascii="宋体" w:hAnsi="宋体" w:cs="宋体"/>
          <w:sz w:val="21"/>
          <w:szCs w:val="21"/>
          <w:highlight w:val="none"/>
        </w:rPr>
        <w:t>《</w:t>
      </w:r>
      <w:r>
        <w:rPr>
          <w:rFonts w:hint="eastAsia" w:ascii="宋体" w:hAnsi="宋体" w:cs="宋体"/>
          <w:sz w:val="21"/>
          <w:szCs w:val="21"/>
          <w:highlight w:val="none"/>
        </w:rPr>
        <w:fldChar w:fldCharType="begin"/>
      </w:r>
      <w:r>
        <w:rPr>
          <w:rFonts w:hint="eastAsia" w:ascii="宋体" w:hAnsi="宋体" w:cs="宋体"/>
          <w:sz w:val="21"/>
          <w:szCs w:val="21"/>
          <w:highlight w:val="none"/>
        </w:rPr>
        <w:instrText xml:space="preserve"> HYPERLINK "https://www.cnpcbidding.com/html/1/javascript: void (0);" </w:instrText>
      </w:r>
      <w:r>
        <w:rPr>
          <w:rFonts w:hint="eastAsia" w:ascii="宋体" w:hAnsi="宋体" w:cs="宋体"/>
          <w:sz w:val="21"/>
          <w:szCs w:val="21"/>
          <w:highlight w:val="none"/>
        </w:rPr>
        <w:fldChar w:fldCharType="separate"/>
      </w:r>
      <w:r>
        <w:rPr>
          <w:rFonts w:hint="eastAsia" w:ascii="宋体" w:hAnsi="宋体" w:cs="宋体"/>
          <w:sz w:val="21"/>
          <w:szCs w:val="21"/>
          <w:highlight w:val="none"/>
        </w:rPr>
        <w:t>电子招投标平台Ukey办理通知公告及操作手册</w:t>
      </w:r>
      <w:r>
        <w:rPr>
          <w:rFonts w:hint="eastAsia" w:ascii="宋体" w:hAnsi="宋体" w:cs="宋体"/>
          <w:sz w:val="21"/>
          <w:szCs w:val="21"/>
          <w:highlight w:val="none"/>
        </w:rPr>
        <w:fldChar w:fldCharType="end"/>
      </w:r>
      <w:r>
        <w:rPr>
          <w:rFonts w:hint="eastAsia" w:ascii="宋体" w:hAnsi="宋体" w:cs="宋体"/>
          <w:sz w:val="21"/>
          <w:szCs w:val="21"/>
          <w:highlight w:val="none"/>
        </w:rPr>
        <w:t>》</w:t>
      </w:r>
      <w:r>
        <w:rPr>
          <w:rFonts w:hint="eastAsia" w:ascii="宋体" w:hAnsi="宋体" w:cs="宋体"/>
          <w:color w:val="333333"/>
          <w:sz w:val="21"/>
          <w:szCs w:val="21"/>
          <w:highlight w:val="none"/>
        </w:rPr>
        <w:t>。</w:t>
      </w:r>
    </w:p>
    <w:p>
      <w:pPr>
        <w:spacing w:line="288" w:lineRule="auto"/>
        <w:ind w:firstLine="420" w:firstLineChars="200"/>
        <w:rPr>
          <w:rFonts w:hint="eastAsia" w:ascii="宋体" w:hAnsi="宋体" w:cs="宋体"/>
          <w:color w:val="000000"/>
          <w:kern w:val="2"/>
          <w:sz w:val="21"/>
          <w:szCs w:val="21"/>
          <w:highlight w:val="green"/>
        </w:rPr>
      </w:pPr>
      <w:r>
        <w:rPr>
          <w:rFonts w:hint="eastAsia" w:ascii="宋体" w:hAnsi="宋体" w:cs="宋体"/>
          <w:color w:val="000000"/>
          <w:kern w:val="2"/>
          <w:sz w:val="21"/>
          <w:szCs w:val="21"/>
        </w:rPr>
        <w:t>4.5 招标文件获取后，需每天登陆“中国石油电子招标投标交易平台”查看该项目澄清等相关信息。</w:t>
      </w:r>
    </w:p>
    <w:p>
      <w:pPr>
        <w:spacing w:line="288" w:lineRule="auto"/>
        <w:ind w:firstLine="420" w:firstLineChars="200"/>
        <w:rPr>
          <w:rFonts w:hint="eastAsia" w:ascii="宋体" w:hAnsi="宋体" w:cs="宋体"/>
          <w:color w:val="000000"/>
          <w:kern w:val="2"/>
          <w:sz w:val="21"/>
          <w:szCs w:val="21"/>
          <w:highlight w:val="none"/>
          <w:lang w:val="zh-CN"/>
        </w:rPr>
      </w:pPr>
      <w:r>
        <w:rPr>
          <w:rFonts w:hint="eastAsia" w:ascii="宋体" w:hAnsi="宋体" w:cs="宋体"/>
          <w:color w:val="000000"/>
          <w:kern w:val="2"/>
          <w:sz w:val="21"/>
          <w:szCs w:val="21"/>
          <w:highlight w:val="none"/>
        </w:rPr>
        <w:t>4.6 招标文件购买操作失败或其他系统问题，</w:t>
      </w:r>
      <w:r>
        <w:rPr>
          <w:rFonts w:hint="eastAsia" w:ascii="宋体" w:hAnsi="宋体" w:cs="宋体"/>
          <w:color w:val="000000"/>
          <w:kern w:val="2"/>
          <w:sz w:val="21"/>
          <w:szCs w:val="21"/>
          <w:highlight w:val="none"/>
          <w:lang w:val="zh-CN"/>
        </w:rPr>
        <w:t>可尝试更换其他银行的个人网银重新购买</w:t>
      </w:r>
      <w:r>
        <w:rPr>
          <w:rFonts w:hint="eastAsia" w:ascii="宋体" w:hAnsi="宋体" w:cs="宋体"/>
          <w:color w:val="000000"/>
          <w:kern w:val="2"/>
          <w:sz w:val="21"/>
          <w:szCs w:val="21"/>
          <w:highlight w:val="none"/>
          <w:lang w:eastAsia="zh-CN"/>
        </w:rPr>
        <w:t>或</w:t>
      </w:r>
      <w:r>
        <w:rPr>
          <w:rFonts w:hint="eastAsia" w:ascii="宋体" w:hAnsi="宋体" w:cs="宋体"/>
          <w:color w:val="000000"/>
          <w:kern w:val="2"/>
          <w:sz w:val="21"/>
          <w:szCs w:val="21"/>
          <w:highlight w:val="none"/>
        </w:rPr>
        <w:t>拨打中国石油电子招标投标交易平台技术支持电话咨询</w:t>
      </w:r>
      <w:r>
        <w:rPr>
          <w:rFonts w:hint="eastAsia" w:ascii="方正小标宋简体" w:hAnsi="方正小标宋简体" w:eastAsia="方正小标宋简体"/>
          <w:color w:val="000000"/>
          <w:sz w:val="24"/>
          <w:highlight w:val="none"/>
          <w:lang w:val="zh-CN"/>
        </w:rPr>
        <w:t>。</w:t>
      </w:r>
      <w:r>
        <w:rPr>
          <w:rFonts w:hint="eastAsia" w:ascii="宋体" w:hAnsi="宋体" w:cs="宋体"/>
          <w:color w:val="000000"/>
          <w:kern w:val="2"/>
          <w:sz w:val="21"/>
          <w:szCs w:val="21"/>
          <w:highlight w:val="none"/>
          <w:lang w:val="zh-CN"/>
        </w:rPr>
        <w:t>重复购买的，在本项目开标日之后可联系招标代理机构联系人退还重复购买费用。</w:t>
      </w:r>
    </w:p>
    <w:p>
      <w:pPr>
        <w:rPr>
          <w:rFonts w:hint="eastAsia" w:ascii="Arial" w:hAnsi="Arial" w:eastAsia="黑体"/>
          <w:b/>
          <w:bCs/>
          <w:kern w:val="2"/>
          <w:sz w:val="32"/>
          <w:szCs w:val="32"/>
        </w:rPr>
      </w:pPr>
      <w:bookmarkStart w:id="22" w:name="_Toc310252796"/>
      <w:bookmarkStart w:id="23" w:name="_Toc310252595"/>
      <w:bookmarkStart w:id="24" w:name="_Toc520895298"/>
      <w:bookmarkStart w:id="25" w:name="_Toc491332587"/>
      <w:bookmarkStart w:id="26" w:name="_Toc17902425"/>
      <w:r>
        <w:rPr>
          <w:rFonts w:hint="eastAsia" w:ascii="Arial" w:hAnsi="Arial" w:eastAsia="黑体"/>
          <w:b/>
          <w:bCs/>
          <w:kern w:val="2"/>
          <w:sz w:val="32"/>
          <w:szCs w:val="32"/>
        </w:rPr>
        <w:t>5.投标文件的递交</w:t>
      </w:r>
      <w:bookmarkEnd w:id="22"/>
      <w:bookmarkEnd w:id="23"/>
      <w:bookmarkEnd w:id="24"/>
      <w:bookmarkEnd w:id="25"/>
      <w:bookmarkEnd w:id="26"/>
    </w:p>
    <w:p>
      <w:pPr>
        <w:spacing w:line="288" w:lineRule="auto"/>
        <w:ind w:firstLine="420" w:firstLineChars="200"/>
        <w:rPr>
          <w:rFonts w:hint="eastAsia" w:ascii="宋体" w:hAnsi="宋体" w:cs="宋体"/>
          <w:color w:val="FF0000"/>
          <w:kern w:val="2"/>
          <w:sz w:val="21"/>
          <w:szCs w:val="21"/>
        </w:rPr>
      </w:pPr>
      <w:r>
        <w:rPr>
          <w:rFonts w:hint="eastAsia" w:ascii="宋体" w:hAnsi="宋体" w:cs="宋体"/>
          <w:color w:val="000000"/>
          <w:kern w:val="2"/>
          <w:sz w:val="21"/>
          <w:szCs w:val="21"/>
        </w:rPr>
        <w:t>5.1本次招标采取网上递交电子投标文件的投标方式</w:t>
      </w:r>
      <w:r>
        <w:rPr>
          <w:rFonts w:hint="eastAsia" w:ascii="宋体" w:hAnsi="宋体" w:cs="宋体"/>
          <w:color w:val="000000"/>
          <w:kern w:val="2"/>
          <w:sz w:val="21"/>
          <w:szCs w:val="21"/>
          <w:lang w:eastAsia="zh-CN"/>
        </w:rPr>
        <w:t>；</w:t>
      </w:r>
      <w:r>
        <w:rPr>
          <w:rFonts w:hint="eastAsia" w:ascii="宋体" w:hAnsi="宋体" w:cs="宋体"/>
          <w:color w:val="000000"/>
          <w:kern w:val="2"/>
          <w:sz w:val="21"/>
          <w:szCs w:val="21"/>
        </w:rPr>
        <w:t xml:space="preserve"> </w:t>
      </w:r>
    </w:p>
    <w:p>
      <w:pPr>
        <w:spacing w:line="288" w:lineRule="auto"/>
        <w:ind w:firstLine="420" w:firstLineChars="200"/>
        <w:rPr>
          <w:rFonts w:hint="eastAsia" w:ascii="宋体" w:hAnsi="宋体" w:cs="宋体"/>
          <w:color w:val="000000"/>
          <w:kern w:val="2"/>
          <w:sz w:val="21"/>
          <w:szCs w:val="21"/>
        </w:rPr>
      </w:pPr>
      <w:r>
        <w:rPr>
          <w:rFonts w:hint="eastAsia" w:ascii="宋体" w:hAnsi="宋体" w:cs="宋体"/>
          <w:color w:val="000000"/>
          <w:kern w:val="2"/>
          <w:sz w:val="21"/>
          <w:szCs w:val="21"/>
        </w:rPr>
        <w:t>5.2投标截止时间和开标时间（网上开标） ：</w:t>
      </w:r>
      <w:r>
        <w:rPr>
          <w:rFonts w:hint="eastAsia" w:ascii="宋体" w:hAnsi="宋体" w:cs="宋体"/>
          <w:color w:val="0000C8"/>
          <w:kern w:val="2"/>
          <w:sz w:val="21"/>
          <w:szCs w:val="21"/>
          <w:highlight w:val="none"/>
        </w:rPr>
        <w:t>20</w:t>
      </w:r>
      <w:r>
        <w:rPr>
          <w:rFonts w:hint="eastAsia" w:ascii="宋体" w:hAnsi="宋体" w:cs="宋体"/>
          <w:color w:val="0000C8"/>
          <w:kern w:val="2"/>
          <w:sz w:val="21"/>
          <w:szCs w:val="21"/>
          <w:highlight w:val="none"/>
          <w:lang w:val="en-US" w:eastAsia="zh-CN"/>
        </w:rPr>
        <w:t>20</w:t>
      </w:r>
      <w:r>
        <w:rPr>
          <w:rFonts w:hint="eastAsia" w:ascii="宋体" w:hAnsi="宋体" w:cs="宋体"/>
          <w:color w:val="0000C8"/>
          <w:kern w:val="2"/>
          <w:sz w:val="21"/>
          <w:szCs w:val="21"/>
          <w:highlight w:val="none"/>
        </w:rPr>
        <w:t>年</w:t>
      </w:r>
      <w:r>
        <w:rPr>
          <w:rFonts w:hint="eastAsia" w:ascii="宋体" w:hAnsi="宋体" w:cs="宋体"/>
          <w:color w:val="0000C8"/>
          <w:kern w:val="2"/>
          <w:sz w:val="21"/>
          <w:szCs w:val="21"/>
          <w:highlight w:val="none"/>
          <w:lang w:val="en-US" w:eastAsia="zh-CN"/>
        </w:rPr>
        <w:t>8</w:t>
      </w:r>
      <w:r>
        <w:rPr>
          <w:rFonts w:hint="eastAsia" w:ascii="宋体" w:hAnsi="宋体" w:cs="宋体"/>
          <w:color w:val="0000C8"/>
          <w:kern w:val="2"/>
          <w:sz w:val="21"/>
          <w:szCs w:val="21"/>
          <w:highlight w:val="none"/>
        </w:rPr>
        <w:t>月</w:t>
      </w:r>
      <w:r>
        <w:rPr>
          <w:rFonts w:hint="eastAsia" w:ascii="宋体" w:hAnsi="宋体" w:cs="宋体"/>
          <w:color w:val="0000C8"/>
          <w:kern w:val="2"/>
          <w:sz w:val="21"/>
          <w:szCs w:val="21"/>
          <w:highlight w:val="none"/>
          <w:lang w:val="en-US" w:eastAsia="zh-CN"/>
        </w:rPr>
        <w:t>28</w:t>
      </w:r>
      <w:r>
        <w:rPr>
          <w:rFonts w:hint="eastAsia" w:ascii="宋体" w:hAnsi="宋体" w:cs="宋体"/>
          <w:color w:val="0000C8"/>
          <w:kern w:val="2"/>
          <w:sz w:val="21"/>
          <w:szCs w:val="21"/>
          <w:highlight w:val="none"/>
        </w:rPr>
        <w:t>日</w:t>
      </w:r>
      <w:r>
        <w:rPr>
          <w:rFonts w:hint="eastAsia" w:ascii="宋体" w:hAnsi="宋体" w:cs="宋体"/>
          <w:color w:val="0000C8"/>
          <w:kern w:val="2"/>
          <w:sz w:val="21"/>
          <w:szCs w:val="21"/>
          <w:highlight w:val="none"/>
          <w:lang w:val="en-US" w:eastAsia="zh-CN"/>
        </w:rPr>
        <w:t>08</w:t>
      </w:r>
      <w:r>
        <w:rPr>
          <w:rFonts w:hint="eastAsia" w:ascii="宋体" w:hAnsi="宋体" w:cs="宋体"/>
          <w:color w:val="0000C8"/>
          <w:kern w:val="2"/>
          <w:sz w:val="21"/>
          <w:szCs w:val="21"/>
          <w:highlight w:val="none"/>
        </w:rPr>
        <w:t>时</w:t>
      </w:r>
      <w:r>
        <w:rPr>
          <w:rFonts w:hint="eastAsia" w:ascii="宋体" w:hAnsi="宋体" w:cs="宋体"/>
          <w:color w:val="0000C8"/>
          <w:kern w:val="2"/>
          <w:sz w:val="21"/>
          <w:szCs w:val="21"/>
          <w:highlight w:val="none"/>
          <w:lang w:val="en-US" w:eastAsia="zh-CN"/>
        </w:rPr>
        <w:t>30</w:t>
      </w:r>
      <w:r>
        <w:rPr>
          <w:rFonts w:hint="eastAsia" w:ascii="宋体" w:hAnsi="宋体" w:cs="宋体"/>
          <w:color w:val="0000C8"/>
          <w:kern w:val="2"/>
          <w:sz w:val="21"/>
          <w:szCs w:val="21"/>
          <w:highlight w:val="none"/>
        </w:rPr>
        <w:t>分</w:t>
      </w:r>
      <w:r>
        <w:rPr>
          <w:rFonts w:hint="eastAsia" w:ascii="宋体" w:hAnsi="宋体" w:cs="宋体"/>
          <w:color w:val="000000"/>
          <w:kern w:val="2"/>
          <w:sz w:val="21"/>
          <w:szCs w:val="21"/>
        </w:rPr>
        <w:t xml:space="preserve">（北京时间）； </w:t>
      </w:r>
    </w:p>
    <w:p>
      <w:pPr>
        <w:spacing w:line="288" w:lineRule="auto"/>
        <w:ind w:firstLine="420" w:firstLineChars="200"/>
        <w:rPr>
          <w:rFonts w:hint="eastAsia" w:ascii="宋体" w:hAnsi="宋体" w:eastAsia="宋体" w:cs="宋体"/>
          <w:color w:val="000000"/>
          <w:kern w:val="2"/>
          <w:sz w:val="21"/>
          <w:szCs w:val="21"/>
          <w:lang w:eastAsia="zh-CN"/>
        </w:rPr>
      </w:pPr>
      <w:r>
        <w:rPr>
          <w:rFonts w:hint="eastAsia" w:ascii="宋体" w:hAnsi="宋体" w:cs="宋体"/>
          <w:color w:val="000000"/>
          <w:kern w:val="2"/>
          <w:sz w:val="21"/>
          <w:szCs w:val="21"/>
        </w:rPr>
        <w:t>5.3开标地点（网上开标）：中国石油电子招标投标交易平台</w:t>
      </w:r>
      <w:r>
        <w:rPr>
          <w:rFonts w:hint="eastAsia" w:ascii="宋体" w:hAnsi="宋体" w:cs="宋体"/>
          <w:color w:val="000000"/>
          <w:kern w:val="2"/>
          <w:sz w:val="21"/>
          <w:szCs w:val="21"/>
          <w:lang w:eastAsia="zh-CN"/>
        </w:rPr>
        <w:t>。</w:t>
      </w:r>
    </w:p>
    <w:p>
      <w:pPr>
        <w:spacing w:line="288" w:lineRule="auto"/>
        <w:ind w:firstLine="420" w:firstLineChars="200"/>
        <w:rPr>
          <w:rFonts w:hint="eastAsia" w:ascii="宋体" w:hAnsi="宋体" w:cs="宋体"/>
          <w:color w:val="000000"/>
          <w:kern w:val="2"/>
          <w:sz w:val="21"/>
          <w:szCs w:val="21"/>
        </w:rPr>
      </w:pPr>
      <w:r>
        <w:rPr>
          <w:rFonts w:hint="eastAsia" w:ascii="宋体" w:hAnsi="宋体" w:cs="宋体"/>
          <w:color w:val="000000"/>
          <w:kern w:val="2"/>
          <w:sz w:val="21"/>
          <w:szCs w:val="21"/>
        </w:rPr>
        <w:t>（投标人可进入“中国石油电子招标投标交易平台”开标大厅参加在线开标）</w:t>
      </w:r>
      <w:bookmarkStart w:id="27" w:name="_Toc520895299"/>
      <w:bookmarkStart w:id="28" w:name="_Toc17902426"/>
      <w:bookmarkStart w:id="29" w:name="_Toc491332588"/>
    </w:p>
    <w:p>
      <w:pPr>
        <w:rPr>
          <w:rFonts w:hint="eastAsia" w:ascii="Arial" w:hAnsi="Arial" w:eastAsia="黑体"/>
          <w:b/>
          <w:bCs/>
          <w:kern w:val="2"/>
          <w:sz w:val="32"/>
          <w:szCs w:val="32"/>
        </w:rPr>
      </w:pPr>
      <w:r>
        <w:rPr>
          <w:rFonts w:hint="eastAsia" w:ascii="Arial" w:hAnsi="Arial" w:eastAsia="黑体"/>
          <w:b/>
          <w:bCs/>
          <w:kern w:val="2"/>
          <w:sz w:val="32"/>
          <w:szCs w:val="32"/>
        </w:rPr>
        <w:t>6.发布公告的媒体</w:t>
      </w:r>
      <w:bookmarkEnd w:id="27"/>
      <w:bookmarkEnd w:id="28"/>
      <w:bookmarkEnd w:id="29"/>
    </w:p>
    <w:p>
      <w:pPr>
        <w:spacing w:line="288" w:lineRule="auto"/>
        <w:ind w:firstLine="420" w:firstLineChars="200"/>
        <w:rPr>
          <w:rFonts w:hint="eastAsia" w:hAnsi="宋体" w:cs="宋体"/>
          <w:bCs/>
          <w:kern w:val="2"/>
          <w:sz w:val="21"/>
          <w:szCs w:val="21"/>
        </w:rPr>
      </w:pPr>
      <w:r>
        <w:rPr>
          <w:rFonts w:hint="eastAsia" w:hAnsi="宋体" w:cs="宋体"/>
          <w:bCs/>
          <w:kern w:val="2"/>
          <w:sz w:val="21"/>
          <w:szCs w:val="21"/>
          <w:lang w:val="zh-CN"/>
        </w:rPr>
        <w:t>中国石油招标投标网</w:t>
      </w:r>
      <w:r>
        <w:rPr>
          <w:rFonts w:hint="eastAsia" w:hAnsi="宋体" w:cs="宋体"/>
          <w:bCs/>
          <w:kern w:val="2"/>
          <w:sz w:val="21"/>
          <w:szCs w:val="21"/>
        </w:rPr>
        <w:t>（</w:t>
      </w:r>
      <w:r>
        <w:rPr>
          <w:rFonts w:hint="eastAsia" w:ascii="宋体" w:hAnsi="宋体"/>
          <w:color w:val="000000"/>
          <w:sz w:val="21"/>
          <w:szCs w:val="21"/>
        </w:rPr>
        <w:t>https://www.cnpcbidding.com/</w:t>
      </w:r>
      <w:r>
        <w:rPr>
          <w:rFonts w:hint="eastAsia" w:hAnsi="宋体" w:cs="宋体"/>
          <w:bCs/>
          <w:kern w:val="2"/>
          <w:sz w:val="21"/>
          <w:szCs w:val="21"/>
        </w:rPr>
        <w:t>）</w:t>
      </w:r>
    </w:p>
    <w:p>
      <w:pPr>
        <w:rPr>
          <w:rFonts w:hint="eastAsia" w:ascii="Arial" w:hAnsi="Arial" w:eastAsia="黑体"/>
          <w:b/>
          <w:bCs/>
          <w:kern w:val="2"/>
          <w:sz w:val="32"/>
          <w:szCs w:val="32"/>
        </w:rPr>
      </w:pPr>
      <w:bookmarkStart w:id="30" w:name="_Toc17902427"/>
      <w:r>
        <w:rPr>
          <w:rFonts w:hint="eastAsia" w:ascii="Arial" w:hAnsi="Arial" w:eastAsia="黑体"/>
          <w:b/>
          <w:bCs/>
          <w:kern w:val="2"/>
          <w:sz w:val="32"/>
          <w:szCs w:val="32"/>
        </w:rPr>
        <w:t>7.联系方式</w:t>
      </w:r>
      <w:bookmarkEnd w:id="30"/>
      <w:r>
        <w:rPr>
          <w:rFonts w:hint="eastAsia" w:ascii="Arial" w:hAnsi="Arial" w:eastAsia="黑体"/>
          <w:b/>
          <w:bCs/>
          <w:kern w:val="2"/>
          <w:sz w:val="32"/>
          <w:szCs w:val="32"/>
        </w:rPr>
        <w:t xml:space="preserve">  </w:t>
      </w:r>
    </w:p>
    <w:p>
      <w:pPr>
        <w:spacing w:line="288" w:lineRule="auto"/>
        <w:ind w:firstLine="420" w:firstLineChars="200"/>
        <w:rPr>
          <w:rFonts w:hint="eastAsia" w:ascii="宋体" w:hAnsi="宋体" w:cs="宋体"/>
          <w:sz w:val="21"/>
          <w:szCs w:val="21"/>
        </w:rPr>
      </w:pPr>
      <w:r>
        <w:rPr>
          <w:rFonts w:hint="eastAsia" w:ascii="宋体" w:hAnsi="宋体" w:cs="宋体"/>
          <w:color w:val="000000"/>
          <w:sz w:val="21"/>
          <w:szCs w:val="21"/>
        </w:rPr>
        <w:t>报名监督电话</w:t>
      </w:r>
      <w:r>
        <w:rPr>
          <w:rFonts w:hint="eastAsia" w:ascii="宋体" w:hAnsi="宋体" w:cs="宋体"/>
          <w:sz w:val="21"/>
          <w:szCs w:val="21"/>
        </w:rPr>
        <w:t>：0438-6278591</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招  标  人：</w:t>
      </w:r>
      <w:r>
        <w:rPr>
          <w:rFonts w:hint="eastAsia" w:ascii="宋体" w:hAnsi="宋体" w:cs="宋体"/>
          <w:sz w:val="21"/>
          <w:szCs w:val="21"/>
        </w:rPr>
        <w:t>中国石油天然气股份有限公司吉林油田分公司</w:t>
      </w:r>
      <w:r>
        <w:rPr>
          <w:rFonts w:hint="eastAsia" w:ascii="宋体" w:hAnsi="宋体" w:cs="宋体"/>
          <w:bCs/>
          <w:color w:val="0000CC"/>
          <w:kern w:val="2"/>
          <w:sz w:val="21"/>
          <w:szCs w:val="21"/>
          <w:lang w:val="zh-CN"/>
        </w:rPr>
        <w:t xml:space="preserve">   </w:t>
      </w:r>
      <w:r>
        <w:rPr>
          <w:rFonts w:hint="eastAsia" w:ascii="宋体" w:hAnsi="宋体" w:cs="宋体"/>
          <w:bCs/>
          <w:kern w:val="2"/>
          <w:sz w:val="21"/>
          <w:szCs w:val="21"/>
          <w:lang w:val="zh-CN"/>
        </w:rPr>
        <w:t xml:space="preserve">       </w:t>
      </w:r>
    </w:p>
    <w:p>
      <w:pPr>
        <w:spacing w:line="288" w:lineRule="auto"/>
        <w:ind w:firstLine="420" w:firstLineChars="200"/>
        <w:rPr>
          <w:rFonts w:hint="eastAsia" w:ascii="宋体" w:hAnsi="宋体" w:cs="宋体"/>
          <w:sz w:val="21"/>
          <w:szCs w:val="21"/>
        </w:rPr>
      </w:pPr>
      <w:r>
        <w:rPr>
          <w:rFonts w:hint="eastAsia" w:ascii="宋体" w:hAnsi="宋体" w:cs="宋体"/>
          <w:bCs/>
          <w:kern w:val="2"/>
          <w:sz w:val="21"/>
          <w:szCs w:val="21"/>
          <w:lang w:val="zh-CN"/>
        </w:rPr>
        <w:t xml:space="preserve">地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址：</w:t>
      </w:r>
      <w:r>
        <w:rPr>
          <w:rFonts w:hint="eastAsia" w:ascii="宋体" w:hAnsi="宋体" w:cs="宋体"/>
          <w:sz w:val="21"/>
          <w:szCs w:val="21"/>
        </w:rPr>
        <w:t xml:space="preserve">吉林省松原市宁江区沿江东路1219号 </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 xml:space="preserve">邮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编： 138000 </w:t>
      </w:r>
    </w:p>
    <w:p>
      <w:pPr>
        <w:spacing w:line="288" w:lineRule="auto"/>
        <w:ind w:firstLine="420" w:firstLineChars="200"/>
        <w:rPr>
          <w:rFonts w:hint="eastAsia" w:ascii="宋体" w:hAnsi="宋体" w:cs="宋体"/>
          <w:bCs/>
          <w:color w:val="0000C8"/>
          <w:kern w:val="2"/>
          <w:sz w:val="21"/>
          <w:szCs w:val="21"/>
          <w:lang w:val="zh-CN"/>
        </w:rPr>
      </w:pPr>
      <w:r>
        <w:rPr>
          <w:rFonts w:hint="eastAsia" w:ascii="宋体" w:hAnsi="宋体" w:cs="宋体"/>
          <w:bCs/>
          <w:kern w:val="2"/>
          <w:sz w:val="21"/>
          <w:szCs w:val="21"/>
          <w:lang w:val="zh-CN"/>
        </w:rPr>
        <w:t>联  系  人：</w:t>
      </w:r>
      <w:r>
        <w:rPr>
          <w:rFonts w:hint="eastAsia" w:ascii="宋体" w:hAnsi="宋体" w:cs="宋体"/>
          <w:bCs/>
          <w:color w:val="0000C8"/>
          <w:kern w:val="2"/>
          <w:sz w:val="21"/>
          <w:szCs w:val="21"/>
          <w:lang w:val="zh-CN"/>
        </w:rPr>
        <w:t xml:space="preserve"> </w:t>
      </w:r>
      <w:r>
        <w:rPr>
          <w:rFonts w:hint="eastAsia" w:ascii="宋体" w:hAnsi="宋体" w:cs="宋体"/>
          <w:bCs/>
          <w:color w:val="0000C8"/>
          <w:kern w:val="2"/>
          <w:sz w:val="21"/>
          <w:szCs w:val="21"/>
          <w:lang w:val="zh-CN" w:eastAsia="zh-CN"/>
        </w:rPr>
        <w:t>王</w:t>
      </w:r>
      <w:r>
        <w:rPr>
          <w:rFonts w:hint="eastAsia" w:ascii="宋体" w:hAnsi="宋体" w:cs="宋体"/>
          <w:bCs/>
          <w:color w:val="0000C8"/>
          <w:kern w:val="2"/>
          <w:sz w:val="21"/>
          <w:szCs w:val="21"/>
          <w:lang w:val="zh-CN"/>
        </w:rPr>
        <w:t>先生</w:t>
      </w:r>
    </w:p>
    <w:p>
      <w:pPr>
        <w:spacing w:line="288" w:lineRule="auto"/>
        <w:ind w:firstLine="420" w:firstLineChars="200"/>
        <w:rPr>
          <w:rFonts w:hint="default" w:ascii="宋体" w:hAnsi="宋体" w:cs="宋体"/>
          <w:bCs/>
          <w:kern w:val="2"/>
          <w:sz w:val="21"/>
          <w:szCs w:val="21"/>
          <w:lang w:val="en-US"/>
        </w:rPr>
      </w:pPr>
      <w:r>
        <w:rPr>
          <w:rFonts w:hint="eastAsia" w:ascii="宋体" w:hAnsi="宋体" w:cs="宋体"/>
          <w:bCs/>
          <w:kern w:val="2"/>
          <w:sz w:val="21"/>
          <w:szCs w:val="21"/>
          <w:lang w:val="zh-CN"/>
        </w:rPr>
        <w:t xml:space="preserve">电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话：</w:t>
      </w:r>
      <w:r>
        <w:rPr>
          <w:rFonts w:hint="eastAsia" w:ascii="宋体" w:hAnsi="宋体" w:cs="宋体"/>
          <w:bCs/>
          <w:color w:val="0000C8"/>
          <w:kern w:val="2"/>
          <w:sz w:val="21"/>
          <w:szCs w:val="21"/>
          <w:lang w:val="zh-CN"/>
        </w:rPr>
        <w:t>0438-62</w:t>
      </w:r>
      <w:r>
        <w:rPr>
          <w:rFonts w:hint="eastAsia" w:ascii="宋体" w:hAnsi="宋体" w:cs="宋体"/>
          <w:bCs/>
          <w:color w:val="0000C8"/>
          <w:kern w:val="2"/>
          <w:sz w:val="21"/>
          <w:szCs w:val="21"/>
          <w:lang w:val="en-US" w:eastAsia="zh-CN"/>
        </w:rPr>
        <w:t>21056</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招标代理机构：</w:t>
      </w:r>
      <w:r>
        <w:rPr>
          <w:rFonts w:hint="eastAsia" w:ascii="宋体" w:hAnsi="宋体" w:cs="宋体"/>
          <w:sz w:val="21"/>
          <w:szCs w:val="21"/>
        </w:rPr>
        <w:t>中国石油天然气股份有限公司吉林油田分公司招标中心</w:t>
      </w:r>
      <w:r>
        <w:rPr>
          <w:rFonts w:hint="eastAsia" w:ascii="宋体" w:hAnsi="宋体" w:cs="宋体"/>
          <w:bCs/>
          <w:kern w:val="2"/>
          <w:sz w:val="21"/>
          <w:szCs w:val="21"/>
          <w:lang w:val="zh-CN"/>
        </w:rPr>
        <w:t xml:space="preserve">  </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 xml:space="preserve">地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址：</w:t>
      </w:r>
      <w:r>
        <w:rPr>
          <w:rFonts w:hint="eastAsia" w:ascii="宋体" w:hAnsi="宋体" w:cs="宋体"/>
          <w:sz w:val="21"/>
          <w:szCs w:val="21"/>
        </w:rPr>
        <w:t>吉林省松原市宁江区锦江大街267号</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 xml:space="preserve">邮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编：138000 </w:t>
      </w:r>
    </w:p>
    <w:p>
      <w:pPr>
        <w:spacing w:line="288" w:lineRule="auto"/>
        <w:ind w:firstLine="420" w:firstLineChars="200"/>
        <w:rPr>
          <w:rFonts w:hint="default" w:ascii="宋体" w:hAnsi="宋体" w:eastAsia="宋体" w:cs="宋体"/>
          <w:bCs/>
          <w:kern w:val="2"/>
          <w:sz w:val="21"/>
          <w:szCs w:val="21"/>
          <w:lang w:val="en-US" w:eastAsia="zh-CN"/>
        </w:rPr>
      </w:pPr>
      <w:r>
        <w:rPr>
          <w:rFonts w:hint="eastAsia" w:ascii="宋体" w:hAnsi="宋体" w:cs="宋体"/>
          <w:bCs/>
          <w:kern w:val="2"/>
          <w:sz w:val="21"/>
          <w:szCs w:val="21"/>
          <w:lang w:val="zh-CN"/>
        </w:rPr>
        <w:t>联  系  人：</w:t>
      </w:r>
      <w:r>
        <w:rPr>
          <w:rFonts w:hint="eastAsia" w:ascii="宋体" w:hAnsi="宋体" w:cs="宋体"/>
          <w:bCs/>
          <w:color w:val="0000FF"/>
          <w:kern w:val="2"/>
          <w:sz w:val="21"/>
          <w:szCs w:val="21"/>
          <w:lang w:val="zh-CN" w:eastAsia="zh-CN"/>
        </w:rPr>
        <w:t>高</w:t>
      </w:r>
      <w:r>
        <w:rPr>
          <w:rFonts w:hint="eastAsia" w:ascii="宋体" w:hAnsi="宋体" w:cs="宋体"/>
          <w:bCs/>
          <w:color w:val="0000C8"/>
          <w:kern w:val="2"/>
          <w:sz w:val="21"/>
          <w:szCs w:val="21"/>
          <w:lang w:val="zh-CN"/>
        </w:rPr>
        <w:t>女士</w:t>
      </w:r>
      <w:r>
        <w:rPr>
          <w:rFonts w:hint="eastAsia" w:ascii="宋体" w:hAnsi="宋体" w:cs="宋体"/>
          <w:bCs/>
          <w:color w:val="0000C8"/>
          <w:kern w:val="2"/>
          <w:sz w:val="21"/>
          <w:szCs w:val="21"/>
          <w:lang w:val="en-US" w:eastAsia="zh-CN"/>
        </w:rPr>
        <w:t>/王先生</w:t>
      </w:r>
    </w:p>
    <w:p>
      <w:pPr>
        <w:spacing w:line="288" w:lineRule="auto"/>
        <w:ind w:firstLine="420" w:firstLineChars="200"/>
        <w:rPr>
          <w:rFonts w:hint="default" w:ascii="宋体" w:hAnsi="宋体" w:eastAsia="宋体" w:cs="宋体"/>
          <w:bCs/>
          <w:color w:val="0000CC"/>
          <w:kern w:val="2"/>
          <w:sz w:val="21"/>
          <w:szCs w:val="21"/>
          <w:lang w:val="en-US" w:eastAsia="zh-CN"/>
        </w:rPr>
      </w:pPr>
      <w:r>
        <w:rPr>
          <w:rFonts w:hint="eastAsia" w:ascii="宋体" w:hAnsi="宋体" w:cs="宋体"/>
          <w:bCs/>
          <w:kern w:val="2"/>
          <w:sz w:val="21"/>
          <w:szCs w:val="21"/>
          <w:lang w:val="zh-CN"/>
        </w:rPr>
        <w:t xml:space="preserve">电     </w:t>
      </w:r>
      <w:r>
        <w:rPr>
          <w:rFonts w:hint="eastAsia" w:ascii="宋体" w:hAnsi="宋体" w:cs="宋体"/>
          <w:bCs/>
          <w:kern w:val="2"/>
          <w:sz w:val="21"/>
          <w:szCs w:val="21"/>
        </w:rPr>
        <w:t xml:space="preserve"> </w:t>
      </w:r>
      <w:r>
        <w:rPr>
          <w:rFonts w:hint="eastAsia" w:ascii="宋体" w:hAnsi="宋体" w:cs="宋体"/>
          <w:bCs/>
          <w:kern w:val="2"/>
          <w:sz w:val="21"/>
          <w:szCs w:val="21"/>
          <w:lang w:val="zh-CN"/>
        </w:rPr>
        <w:t>话：</w:t>
      </w:r>
      <w:r>
        <w:rPr>
          <w:rFonts w:hint="eastAsia" w:ascii="宋体" w:hAnsi="宋体" w:cs="宋体"/>
          <w:bCs/>
          <w:color w:val="0000C8"/>
          <w:kern w:val="2"/>
          <w:sz w:val="21"/>
          <w:szCs w:val="21"/>
          <w:lang w:val="zh-CN"/>
        </w:rPr>
        <w:t>0438-62</w:t>
      </w:r>
      <w:r>
        <w:rPr>
          <w:rFonts w:hint="eastAsia" w:ascii="宋体" w:hAnsi="宋体" w:cs="宋体"/>
          <w:bCs/>
          <w:color w:val="0000C8"/>
          <w:kern w:val="2"/>
          <w:sz w:val="21"/>
          <w:szCs w:val="21"/>
          <w:lang w:val="en-US" w:eastAsia="zh-CN"/>
        </w:rPr>
        <w:t>78513</w:t>
      </w:r>
      <w:r>
        <w:rPr>
          <w:rFonts w:hint="eastAsia" w:ascii="宋体" w:hAnsi="宋体" w:cs="宋体"/>
          <w:bCs/>
          <w:color w:val="0000C8"/>
          <w:kern w:val="2"/>
          <w:sz w:val="21"/>
          <w:szCs w:val="21"/>
          <w:lang w:val="zh-CN"/>
        </w:rPr>
        <w:t xml:space="preserve"> /62</w:t>
      </w:r>
      <w:r>
        <w:rPr>
          <w:rFonts w:hint="eastAsia" w:ascii="宋体" w:hAnsi="宋体" w:cs="宋体"/>
          <w:bCs/>
          <w:color w:val="0000C8"/>
          <w:kern w:val="2"/>
          <w:sz w:val="21"/>
          <w:szCs w:val="21"/>
          <w:lang w:val="en-US" w:eastAsia="zh-CN"/>
        </w:rPr>
        <w:t>78510</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中国石油电子招标投标交易平台技术支持</w:t>
      </w:r>
      <w:r>
        <w:rPr>
          <w:rFonts w:hint="eastAsia" w:ascii="宋体" w:hAnsi="宋体" w:cs="宋体"/>
          <w:bCs/>
          <w:kern w:val="2"/>
          <w:sz w:val="21"/>
          <w:szCs w:val="21"/>
          <w:highlight w:val="none"/>
          <w:lang w:val="zh-CN"/>
        </w:rPr>
        <w:t>电话：</w:t>
      </w:r>
      <w:r>
        <w:rPr>
          <w:rFonts w:hint="eastAsia" w:ascii="宋体" w:hAnsi="宋体" w:cs="宋体"/>
          <w:sz w:val="21"/>
          <w:szCs w:val="21"/>
          <w:highlight w:val="none"/>
        </w:rPr>
        <w:t>40</w:t>
      </w:r>
      <w:r>
        <w:rPr>
          <w:rFonts w:hint="eastAsia" w:ascii="宋体" w:hAnsi="宋体" w:cs="宋体"/>
          <w:sz w:val="21"/>
          <w:szCs w:val="21"/>
        </w:rPr>
        <w:t>08800114根据语音提示说出“电子招标”（服务时间8:30-17:30），</w:t>
      </w:r>
      <w:r>
        <w:rPr>
          <w:rFonts w:hint="eastAsia" w:ascii="宋体" w:hAnsi="宋体" w:cs="宋体"/>
          <w:bCs/>
          <w:kern w:val="2"/>
          <w:sz w:val="21"/>
          <w:szCs w:val="21"/>
          <w:lang w:val="zh-CN"/>
        </w:rPr>
        <w:t>如有疑问请在工作时间咨询。</w:t>
      </w:r>
    </w:p>
    <w:p>
      <w:pPr>
        <w:rPr>
          <w:rFonts w:hint="eastAsia" w:ascii="Arial" w:hAnsi="Arial" w:eastAsia="黑体"/>
          <w:b/>
          <w:bCs/>
          <w:kern w:val="2"/>
          <w:sz w:val="32"/>
          <w:szCs w:val="32"/>
          <w:lang w:val="zh-CN" w:eastAsia="zh-CN"/>
        </w:rPr>
      </w:pPr>
      <w:r>
        <w:rPr>
          <w:rFonts w:hint="eastAsia" w:ascii="Arial" w:hAnsi="Arial" w:eastAsia="黑体"/>
          <w:b/>
          <w:bCs/>
          <w:kern w:val="2"/>
          <w:sz w:val="32"/>
          <w:szCs w:val="32"/>
          <w:lang w:val="en-US" w:eastAsia="zh-CN"/>
        </w:rPr>
        <w:t>8</w:t>
      </w:r>
      <w:r>
        <w:rPr>
          <w:rFonts w:hint="eastAsia" w:ascii="Arial" w:hAnsi="Arial" w:eastAsia="黑体"/>
          <w:b/>
          <w:bCs/>
          <w:kern w:val="2"/>
          <w:sz w:val="32"/>
          <w:szCs w:val="32"/>
          <w:lang w:val="zh-CN" w:eastAsia="zh-CN"/>
        </w:rPr>
        <w:t>.其他</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疫情期间不接待任何投标人来访，有问题可以通过信息化手段解决。疫情期间不允许投标人来开标现场。</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招标公告中未尽事宜或与招标文件不符之处，以招标文件为准。</w:t>
      </w:r>
    </w:p>
    <w:p>
      <w:pPr>
        <w:spacing w:line="288" w:lineRule="auto"/>
        <w:rPr>
          <w:rFonts w:hint="eastAsia" w:ascii="宋体" w:hAnsi="宋体" w:cs="宋体"/>
          <w:sz w:val="21"/>
          <w:szCs w:val="21"/>
        </w:rPr>
      </w:pPr>
    </w:p>
    <w:p>
      <w:pPr>
        <w:spacing w:line="288" w:lineRule="auto"/>
        <w:rPr>
          <w:rFonts w:hint="eastAsia" w:ascii="宋体" w:hAnsi="宋体" w:cs="宋体"/>
          <w:sz w:val="21"/>
          <w:szCs w:val="21"/>
        </w:rPr>
      </w:pPr>
    </w:p>
    <w:p>
      <w:pPr>
        <w:overflowPunct w:val="0"/>
        <w:spacing w:line="288" w:lineRule="auto"/>
        <w:ind w:right="420"/>
        <w:jc w:val="right"/>
        <w:rPr>
          <w:rFonts w:hint="eastAsia" w:ascii="宋体" w:hAnsi="宋体" w:cs="宋体"/>
          <w:sz w:val="21"/>
          <w:szCs w:val="21"/>
        </w:rPr>
      </w:pPr>
      <w:r>
        <w:rPr>
          <w:rFonts w:hint="eastAsia" w:ascii="宋体" w:hAnsi="宋体" w:cs="宋体"/>
          <w:sz w:val="21"/>
          <w:szCs w:val="21"/>
        </w:rPr>
        <w:t>中国石油吉林油田公司招标中心</w:t>
      </w:r>
    </w:p>
    <w:p>
      <w:pPr>
        <w:overflowPunct w:val="0"/>
        <w:spacing w:line="288" w:lineRule="auto"/>
        <w:ind w:right="420" w:firstLine="6090" w:firstLineChars="2900"/>
        <w:jc w:val="right"/>
        <w:rPr>
          <w:rFonts w:hint="eastAsia" w:ascii="宋体" w:hAnsi="宋体" w:cs="宋体"/>
          <w:color w:val="0000CC"/>
          <w:sz w:val="21"/>
          <w:szCs w:val="21"/>
          <w:highlight w:val="none"/>
        </w:rPr>
      </w:pPr>
      <w:r>
        <w:rPr>
          <w:rFonts w:hint="eastAsia" w:ascii="宋体" w:hAnsi="宋体" w:cs="宋体"/>
          <w:sz w:val="21"/>
          <w:szCs w:val="21"/>
          <w:highlight w:val="none"/>
        </w:rPr>
        <w:t xml:space="preserve">  </w:t>
      </w:r>
      <w:r>
        <w:rPr>
          <w:rFonts w:hint="eastAsia" w:ascii="宋体" w:hAnsi="宋体" w:cs="宋体"/>
          <w:color w:val="0000CC"/>
          <w:sz w:val="21"/>
          <w:szCs w:val="21"/>
          <w:highlight w:val="none"/>
        </w:rPr>
        <w:t xml:space="preserve"> </w:t>
      </w:r>
      <w:r>
        <w:rPr>
          <w:rFonts w:hint="eastAsia" w:ascii="宋体" w:hAnsi="宋体" w:cs="宋体"/>
          <w:color w:val="0000C8"/>
          <w:sz w:val="21"/>
          <w:szCs w:val="21"/>
          <w:highlight w:val="none"/>
        </w:rPr>
        <w:t>20</w:t>
      </w:r>
      <w:r>
        <w:rPr>
          <w:rFonts w:hint="eastAsia" w:ascii="宋体" w:hAnsi="宋体" w:cs="宋体"/>
          <w:color w:val="0000C8"/>
          <w:sz w:val="21"/>
          <w:szCs w:val="21"/>
          <w:highlight w:val="none"/>
          <w:lang w:val="en-US" w:eastAsia="zh-CN"/>
        </w:rPr>
        <w:t>20</w:t>
      </w:r>
      <w:r>
        <w:rPr>
          <w:rFonts w:hint="eastAsia" w:ascii="宋体" w:hAnsi="宋体" w:cs="宋体"/>
          <w:color w:val="0000C8"/>
          <w:sz w:val="21"/>
          <w:szCs w:val="21"/>
          <w:highlight w:val="none"/>
        </w:rPr>
        <w:t>年</w:t>
      </w:r>
      <w:r>
        <w:rPr>
          <w:rFonts w:hint="eastAsia" w:ascii="宋体" w:hAnsi="宋体" w:cs="宋体"/>
          <w:color w:val="0000C8"/>
          <w:sz w:val="21"/>
          <w:szCs w:val="21"/>
          <w:highlight w:val="none"/>
          <w:lang w:val="en-US" w:eastAsia="zh-CN"/>
        </w:rPr>
        <w:t>8</w:t>
      </w:r>
      <w:r>
        <w:rPr>
          <w:rFonts w:hint="eastAsia" w:ascii="宋体" w:hAnsi="宋体" w:cs="宋体"/>
          <w:color w:val="0000C8"/>
          <w:sz w:val="21"/>
          <w:szCs w:val="21"/>
          <w:highlight w:val="none"/>
        </w:rPr>
        <w:t>月</w:t>
      </w:r>
      <w:r>
        <w:rPr>
          <w:rFonts w:hint="eastAsia" w:ascii="宋体" w:hAnsi="宋体" w:cs="宋体"/>
          <w:color w:val="0000C8"/>
          <w:sz w:val="21"/>
          <w:szCs w:val="21"/>
          <w:highlight w:val="none"/>
          <w:lang w:val="en-US" w:eastAsia="zh-CN"/>
        </w:rPr>
        <w:t>5</w:t>
      </w:r>
      <w:r>
        <w:rPr>
          <w:rFonts w:hint="eastAsia" w:ascii="宋体" w:hAnsi="宋体" w:cs="宋体"/>
          <w:color w:val="0000C8"/>
          <w:sz w:val="21"/>
          <w:szCs w:val="21"/>
          <w:highlight w:val="none"/>
        </w:rPr>
        <w:t>日</w:t>
      </w:r>
    </w:p>
    <w:p>
      <w:pPr>
        <w:overflowPunct w:val="0"/>
        <w:spacing w:line="288" w:lineRule="auto"/>
        <w:ind w:right="420" w:firstLine="6380" w:firstLineChars="2900"/>
        <w:rPr>
          <w:color w:val="0000CC"/>
        </w:rPr>
      </w:pPr>
    </w:p>
    <w:p>
      <w:pPr>
        <w:spacing w:line="288" w:lineRule="auto"/>
        <w:rPr>
          <w:rFonts w:hint="eastAsia" w:ascii="宋体" w:hAnsi="宋体" w:cs="宋体"/>
          <w:sz w:val="21"/>
          <w:szCs w:val="21"/>
        </w:rPr>
      </w:pPr>
      <w:r>
        <w:rPr>
          <w:rFonts w:hint="eastAsia" w:hAnsi="宋体" w:cs="宋体"/>
          <w:szCs w:val="21"/>
        </w:rPr>
        <w:t xml:space="preserve">    </w:t>
      </w:r>
      <w:r>
        <w:rPr>
          <w:rFonts w:hint="eastAsia" w:ascii="宋体" w:hAnsi="宋体" w:cs="宋体"/>
          <w:sz w:val="21"/>
          <w:szCs w:val="21"/>
        </w:rPr>
        <w:t>附件1：货物需求一览表</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附件2：技术要求</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w:t>
      </w:r>
      <w:r>
        <w:rPr>
          <w:rFonts w:hint="eastAsia" w:ascii="宋体" w:hAnsi="宋体" w:cs="宋体"/>
          <w:sz w:val="21"/>
          <w:szCs w:val="21"/>
          <w:lang w:val="en-US" w:eastAsia="zh-CN"/>
        </w:rPr>
        <w:t>3</w:t>
      </w:r>
      <w:r>
        <w:rPr>
          <w:rFonts w:hint="eastAsia" w:ascii="宋体" w:hAnsi="宋体" w:cs="宋体"/>
          <w:sz w:val="21"/>
          <w:szCs w:val="21"/>
        </w:rPr>
        <w:t>：《中国石油天然气集团有限公司投标人失信行为管理办法（试行）》</w:t>
      </w:r>
      <w:bookmarkStart w:id="31" w:name="page14"/>
      <w:bookmarkEnd w:id="31"/>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w:t>
      </w:r>
      <w:r>
        <w:rPr>
          <w:rFonts w:hint="eastAsia" w:ascii="宋体" w:hAnsi="宋体" w:cs="宋体"/>
          <w:sz w:val="21"/>
          <w:szCs w:val="21"/>
          <w:lang w:val="en-US" w:eastAsia="zh-CN"/>
        </w:rPr>
        <w:t>4</w:t>
      </w:r>
      <w:r>
        <w:rPr>
          <w:rFonts w:hint="eastAsia" w:ascii="宋体" w:hAnsi="宋体" w:cs="宋体"/>
          <w:sz w:val="21"/>
          <w:szCs w:val="21"/>
        </w:rPr>
        <w:t>：投标保证金提交流程</w:t>
      </w:r>
    </w:p>
    <w:p>
      <w:pPr>
        <w:spacing w:line="288" w:lineRule="auto"/>
        <w:outlineLvl w:val="2"/>
        <w:rPr>
          <w:rFonts w:hint="eastAsia" w:hAnsi="宋体" w:cs="宋体"/>
          <w:szCs w:val="21"/>
        </w:rPr>
      </w:pPr>
      <w:r>
        <w:rPr>
          <w:rFonts w:hint="eastAsia" w:ascii="黑体" w:hAnsi="宋体" w:eastAsia="黑体"/>
          <w:bCs/>
          <w:kern w:val="2"/>
          <w:sz w:val="28"/>
          <w:szCs w:val="28"/>
        </w:rPr>
        <w:br w:type="page"/>
      </w:r>
      <w:bookmarkStart w:id="32" w:name="_Toc18593"/>
      <w:r>
        <w:rPr>
          <w:rFonts w:hint="eastAsia" w:ascii="黑体" w:hAnsi="宋体" w:eastAsia="黑体"/>
          <w:bCs/>
          <w:kern w:val="2"/>
          <w:sz w:val="28"/>
          <w:szCs w:val="28"/>
        </w:rPr>
        <w:t>附件1：货物需求一览表</w:t>
      </w:r>
      <w:bookmarkEnd w:id="32"/>
    </w:p>
    <w:p>
      <w:pPr>
        <w:spacing w:after="120" w:afterLines="50" w:line="288" w:lineRule="auto"/>
        <w:jc w:val="center"/>
        <w:rPr>
          <w:rFonts w:hint="eastAsia" w:ascii="宋体" w:hAnsi="宋体" w:cs="宋体"/>
          <w:b/>
          <w:sz w:val="21"/>
          <w:szCs w:val="21"/>
        </w:rPr>
      </w:pPr>
      <w:r>
        <w:rPr>
          <w:rFonts w:hint="eastAsia" w:ascii="宋体" w:hAnsi="宋体" w:cs="宋体"/>
          <w:b/>
          <w:sz w:val="21"/>
          <w:szCs w:val="21"/>
        </w:rPr>
        <w:t>货物需求一览表</w:t>
      </w:r>
    </w:p>
    <w:tbl>
      <w:tblPr>
        <w:tblStyle w:val="5"/>
        <w:tblW w:w="92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1667"/>
        <w:gridCol w:w="839"/>
        <w:gridCol w:w="720"/>
        <w:gridCol w:w="1522"/>
        <w:gridCol w:w="1545"/>
        <w:gridCol w:w="1425"/>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4" w:hRule="atLeast"/>
          <w:jc w:val="center"/>
        </w:trPr>
        <w:tc>
          <w:tcPr>
            <w:tcW w:w="517" w:type="dxa"/>
            <w:vAlign w:val="center"/>
          </w:tcPr>
          <w:p>
            <w:pPr>
              <w:widowControl/>
              <w:jc w:val="center"/>
              <w:rPr>
                <w:rFonts w:ascii="宋体" w:hAnsi="宋体" w:cs="宋体"/>
                <w:color w:val="000000"/>
                <w:szCs w:val="21"/>
              </w:rPr>
            </w:pPr>
            <w:r>
              <w:rPr>
                <w:rFonts w:hint="eastAsia" w:ascii="宋体" w:hAnsi="宋体" w:cs="宋体"/>
                <w:color w:val="000000"/>
                <w:szCs w:val="21"/>
              </w:rPr>
              <w:t>序号</w:t>
            </w:r>
          </w:p>
        </w:tc>
        <w:tc>
          <w:tcPr>
            <w:tcW w:w="1667" w:type="dxa"/>
            <w:vAlign w:val="center"/>
          </w:tcPr>
          <w:p>
            <w:pPr>
              <w:widowControl/>
              <w:jc w:val="center"/>
              <w:rPr>
                <w:rFonts w:ascii="宋体" w:hAnsi="宋体" w:cs="宋体"/>
                <w:color w:val="000000"/>
                <w:szCs w:val="21"/>
              </w:rPr>
            </w:pPr>
            <w:r>
              <w:rPr>
                <w:rFonts w:hint="eastAsia" w:ascii="宋体" w:hAnsi="宋体" w:cs="宋体"/>
                <w:color w:val="000000"/>
                <w:szCs w:val="21"/>
              </w:rPr>
              <w:t>物料描述</w:t>
            </w:r>
          </w:p>
        </w:tc>
        <w:tc>
          <w:tcPr>
            <w:tcW w:w="839" w:type="dxa"/>
            <w:vAlign w:val="center"/>
          </w:tcPr>
          <w:p>
            <w:pPr>
              <w:widowControl/>
              <w:jc w:val="center"/>
              <w:rPr>
                <w:rFonts w:hint="eastAsia" w:ascii="宋体" w:hAnsi="宋体" w:cs="宋体"/>
                <w:color w:val="000000"/>
                <w:szCs w:val="21"/>
              </w:rPr>
            </w:pPr>
            <w:r>
              <w:rPr>
                <w:rFonts w:hint="eastAsia" w:ascii="宋体" w:hAnsi="宋体" w:cs="宋体"/>
                <w:color w:val="000000"/>
                <w:szCs w:val="21"/>
              </w:rPr>
              <w:t>计量</w:t>
            </w:r>
          </w:p>
          <w:p>
            <w:pPr>
              <w:widowControl/>
              <w:jc w:val="center"/>
              <w:rPr>
                <w:rFonts w:ascii="宋体" w:hAnsi="宋体" w:cs="宋体"/>
                <w:color w:val="000000"/>
                <w:szCs w:val="21"/>
              </w:rPr>
            </w:pPr>
            <w:r>
              <w:rPr>
                <w:rFonts w:hint="eastAsia" w:ascii="宋体" w:hAnsi="宋体" w:cs="宋体"/>
                <w:color w:val="000000"/>
                <w:szCs w:val="21"/>
              </w:rPr>
              <w:t>单位</w:t>
            </w:r>
          </w:p>
        </w:tc>
        <w:tc>
          <w:tcPr>
            <w:tcW w:w="720" w:type="dxa"/>
            <w:vAlign w:val="center"/>
          </w:tcPr>
          <w:p>
            <w:pPr>
              <w:widowControl/>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预计</w:t>
            </w:r>
          </w:p>
          <w:p>
            <w:pPr>
              <w:widowControl/>
              <w:jc w:val="center"/>
              <w:rPr>
                <w:rFonts w:ascii="宋体" w:hAnsi="宋体" w:cs="宋体"/>
                <w:color w:val="000000"/>
                <w:szCs w:val="21"/>
              </w:rPr>
            </w:pPr>
            <w:r>
              <w:rPr>
                <w:rFonts w:hint="eastAsia" w:ascii="宋体" w:hAnsi="宋体" w:cs="宋体"/>
                <w:color w:val="000000"/>
                <w:szCs w:val="21"/>
              </w:rPr>
              <w:t>数量</w:t>
            </w:r>
          </w:p>
        </w:tc>
        <w:tc>
          <w:tcPr>
            <w:tcW w:w="1522" w:type="dxa"/>
            <w:vAlign w:val="center"/>
          </w:tcPr>
          <w:p>
            <w:pPr>
              <w:widowControl/>
              <w:jc w:val="center"/>
              <w:rPr>
                <w:rFonts w:ascii="宋体" w:hAnsi="宋体" w:cs="宋体"/>
                <w:color w:val="000000"/>
                <w:szCs w:val="21"/>
              </w:rPr>
            </w:pPr>
            <w:r>
              <w:rPr>
                <w:rFonts w:hint="eastAsia" w:ascii="宋体" w:hAnsi="宋体" w:cs="宋体"/>
                <w:color w:val="000000"/>
                <w:szCs w:val="21"/>
              </w:rPr>
              <w:t>技术标准及要求</w:t>
            </w:r>
          </w:p>
        </w:tc>
        <w:tc>
          <w:tcPr>
            <w:tcW w:w="1545" w:type="dxa"/>
            <w:vAlign w:val="center"/>
          </w:tcPr>
          <w:p>
            <w:pPr>
              <w:widowControl/>
              <w:jc w:val="center"/>
              <w:rPr>
                <w:rFonts w:ascii="宋体" w:hAnsi="宋体" w:cs="宋体"/>
                <w:color w:val="000000"/>
                <w:szCs w:val="21"/>
              </w:rPr>
            </w:pPr>
            <w:r>
              <w:rPr>
                <w:rFonts w:hint="eastAsia" w:ascii="宋体" w:hAnsi="宋体" w:cs="宋体"/>
                <w:color w:val="000000"/>
                <w:szCs w:val="21"/>
              </w:rPr>
              <w:t>交货日期</w:t>
            </w:r>
          </w:p>
        </w:tc>
        <w:tc>
          <w:tcPr>
            <w:tcW w:w="1425" w:type="dxa"/>
            <w:vAlign w:val="center"/>
          </w:tcPr>
          <w:p>
            <w:pPr>
              <w:widowControl/>
              <w:jc w:val="center"/>
              <w:rPr>
                <w:rFonts w:ascii="宋体" w:hAnsi="宋体" w:cs="宋体"/>
                <w:color w:val="000000"/>
                <w:szCs w:val="21"/>
              </w:rPr>
            </w:pPr>
            <w:r>
              <w:rPr>
                <w:rFonts w:hint="eastAsia" w:ascii="宋体" w:hAnsi="宋体" w:cs="宋体"/>
                <w:color w:val="000000"/>
                <w:szCs w:val="21"/>
              </w:rPr>
              <w:t>交货地点</w:t>
            </w:r>
          </w:p>
        </w:tc>
        <w:tc>
          <w:tcPr>
            <w:tcW w:w="1027" w:type="dxa"/>
            <w:vAlign w:val="center"/>
          </w:tcPr>
          <w:p>
            <w:pPr>
              <w:widowControl/>
              <w:jc w:val="center"/>
              <w:rPr>
                <w:rFonts w:hint="eastAsia" w:ascii="宋体" w:hAnsi="宋体" w:cs="宋体"/>
                <w:color w:val="000000"/>
                <w:szCs w:val="21"/>
              </w:rPr>
            </w:pPr>
            <w:r>
              <w:rPr>
                <w:rFonts w:hint="eastAsia" w:ascii="宋体" w:hAnsi="宋体" w:cs="宋体"/>
                <w:color w:val="000000"/>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517" w:type="dxa"/>
            <w:vAlign w:val="center"/>
          </w:tcPr>
          <w:p>
            <w:pPr>
              <w:jc w:val="center"/>
              <w:rPr>
                <w:rFonts w:ascii="宋体" w:hAnsi="宋体" w:cs="宋体"/>
                <w:color w:val="000000"/>
                <w:szCs w:val="21"/>
              </w:rPr>
            </w:pPr>
            <w:r>
              <w:rPr>
                <w:rFonts w:hint="eastAsia"/>
                <w:sz w:val="20"/>
                <w:szCs w:val="20"/>
              </w:rPr>
              <w:t>1</w:t>
            </w:r>
          </w:p>
        </w:tc>
        <w:tc>
          <w:tcPr>
            <w:tcW w:w="1667" w:type="dxa"/>
            <w:vAlign w:val="center"/>
          </w:tcPr>
          <w:p>
            <w:pPr>
              <w:keepNext w:val="0"/>
              <w:keepLines w:val="0"/>
              <w:widowControl/>
              <w:suppressLineNumbers w:val="0"/>
              <w:jc w:val="left"/>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烯丙基三甲基氯化铵</w:t>
            </w:r>
          </w:p>
        </w:tc>
        <w:tc>
          <w:tcPr>
            <w:tcW w:w="839" w:type="dxa"/>
            <w:vAlign w:val="center"/>
          </w:tcPr>
          <w:p>
            <w:pPr>
              <w:keepNext w:val="0"/>
              <w:keepLines w:val="0"/>
              <w:widowControl/>
              <w:suppressLineNumbers w:val="0"/>
              <w:jc w:val="center"/>
              <w:textAlignment w:val="center"/>
              <w:rPr>
                <w:rFonts w:hint="eastAsia" w:ascii="宋体" w:hAnsi="宋体" w:eastAsia="宋体" w:cs="宋体"/>
                <w:bCs/>
                <w:szCs w:val="21"/>
                <w:lang w:eastAsia="zh-CN"/>
              </w:rPr>
            </w:pPr>
            <w:r>
              <w:rPr>
                <w:rFonts w:hint="eastAsia" w:ascii="宋体" w:hAnsi="宋体" w:eastAsia="宋体" w:cs="宋体"/>
                <w:i w:val="0"/>
                <w:color w:val="000000"/>
                <w:kern w:val="0"/>
                <w:sz w:val="20"/>
                <w:szCs w:val="20"/>
                <w:u w:val="none"/>
                <w:lang w:val="en-US" w:eastAsia="zh-CN" w:bidi="ar"/>
              </w:rPr>
              <w:t>吨</w:t>
            </w:r>
          </w:p>
        </w:tc>
        <w:tc>
          <w:tcPr>
            <w:tcW w:w="720" w:type="dxa"/>
            <w:vAlign w:val="center"/>
          </w:tcPr>
          <w:p>
            <w:pPr>
              <w:keepNext w:val="0"/>
              <w:keepLines w:val="0"/>
              <w:widowControl/>
              <w:suppressLineNumbers w:val="0"/>
              <w:jc w:val="center"/>
              <w:textAlignment w:val="center"/>
              <w:rPr>
                <w:rFonts w:hint="eastAsia" w:ascii="宋体" w:hAnsi="宋体" w:eastAsia="宋体"/>
                <w:szCs w:val="21"/>
                <w:lang w:val="en-US" w:eastAsia="zh-CN"/>
              </w:rPr>
            </w:pPr>
            <w:r>
              <w:rPr>
                <w:rFonts w:hint="eastAsia" w:ascii="宋体" w:hAnsi="宋体" w:eastAsia="宋体" w:cs="宋体"/>
                <w:i w:val="0"/>
                <w:color w:val="000000"/>
                <w:kern w:val="0"/>
                <w:sz w:val="20"/>
                <w:szCs w:val="20"/>
                <w:u w:val="none"/>
                <w:lang w:val="en-US" w:eastAsia="zh-CN" w:bidi="ar"/>
              </w:rPr>
              <w:t xml:space="preserve">1 </w:t>
            </w:r>
          </w:p>
        </w:tc>
        <w:tc>
          <w:tcPr>
            <w:tcW w:w="1522" w:type="dxa"/>
            <w:vAlign w:val="center"/>
          </w:tcPr>
          <w:p>
            <w:pPr>
              <w:widowControl/>
              <w:jc w:val="center"/>
              <w:rPr>
                <w:rFonts w:hint="eastAsia" w:ascii="宋体" w:hAnsi="宋体" w:eastAsia="宋体" w:cs="宋体"/>
                <w:color w:val="000000"/>
                <w:szCs w:val="21"/>
                <w:lang w:eastAsia="zh-CN"/>
              </w:rPr>
            </w:pPr>
            <w:r>
              <w:rPr>
                <w:rFonts w:hint="eastAsia" w:ascii="宋体" w:hAnsi="宋体" w:cs="宋体"/>
                <w:color w:val="000000"/>
                <w:szCs w:val="21"/>
                <w:lang w:eastAsia="zh-CN"/>
              </w:rPr>
              <w:t>见附件</w:t>
            </w:r>
            <w:r>
              <w:rPr>
                <w:rFonts w:hint="eastAsia" w:ascii="宋体" w:hAnsi="宋体" w:cs="宋体"/>
                <w:color w:val="000000"/>
                <w:szCs w:val="21"/>
                <w:lang w:val="en-US" w:eastAsia="zh-CN"/>
              </w:rPr>
              <w:t>技术要求</w:t>
            </w:r>
          </w:p>
        </w:tc>
        <w:tc>
          <w:tcPr>
            <w:tcW w:w="1545" w:type="dxa"/>
            <w:vAlign w:val="center"/>
          </w:tcPr>
          <w:p>
            <w:pPr>
              <w:widowControl/>
              <w:jc w:val="center"/>
              <w:rPr>
                <w:rFonts w:hint="eastAsia" w:ascii="宋体" w:hAnsi="宋体" w:eastAsia="宋体" w:cs="宋体"/>
                <w:color w:val="000000"/>
                <w:szCs w:val="21"/>
                <w:lang w:eastAsia="zh-CN"/>
              </w:rPr>
            </w:pPr>
            <w:r>
              <w:rPr>
                <w:rFonts w:hint="eastAsia" w:ascii="宋体" w:hAnsi="宋体" w:cs="宋体"/>
                <w:kern w:val="0"/>
                <w:szCs w:val="21"/>
              </w:rPr>
              <w:t>按照需求单位电话通知数量，15个工作日内送达指定地点</w:t>
            </w:r>
            <w:r>
              <w:rPr>
                <w:rFonts w:hint="eastAsia" w:ascii="宋体" w:hAnsi="宋体" w:cs="宋体"/>
                <w:kern w:val="0"/>
                <w:szCs w:val="21"/>
                <w:lang w:eastAsia="zh-CN"/>
              </w:rPr>
              <w:t>。</w:t>
            </w:r>
          </w:p>
        </w:tc>
        <w:tc>
          <w:tcPr>
            <w:tcW w:w="1425" w:type="dxa"/>
            <w:vAlign w:val="center"/>
          </w:tcPr>
          <w:p>
            <w:pPr>
              <w:widowControl/>
              <w:jc w:val="center"/>
              <w:rPr>
                <w:rFonts w:ascii="宋体" w:hAnsi="宋体" w:cs="宋体"/>
                <w:color w:val="000000"/>
                <w:szCs w:val="21"/>
              </w:rPr>
            </w:pPr>
            <w:r>
              <w:rPr>
                <w:rFonts w:hint="eastAsia" w:ascii="宋体" w:hAnsi="宋体" w:cs="宋体"/>
                <w:kern w:val="0"/>
                <w:szCs w:val="21"/>
              </w:rPr>
              <w:t>吉林油田兴业油化公司施工现场</w:t>
            </w:r>
          </w:p>
        </w:tc>
        <w:tc>
          <w:tcPr>
            <w:tcW w:w="1027" w:type="dxa"/>
            <w:vAlign w:val="center"/>
          </w:tcPr>
          <w:p>
            <w:pPr>
              <w:widowControl/>
              <w:jc w:val="center"/>
              <w:rPr>
                <w:rFonts w:hint="eastAsia" w:ascii="宋体" w:hAnsi="宋体" w:cs="宋体"/>
                <w:color w:val="000000"/>
                <w:szCs w:val="21"/>
                <w:lang w:eastAsia="zh-CN"/>
              </w:rPr>
            </w:pPr>
          </w:p>
        </w:tc>
      </w:tr>
    </w:tbl>
    <w:p>
      <w:pPr>
        <w:spacing w:line="288" w:lineRule="auto"/>
        <w:rPr>
          <w:rFonts w:hint="eastAsia" w:eastAsia="宋体"/>
          <w:lang w:eastAsia="zh-CN"/>
        </w:rPr>
      </w:pPr>
      <w:r>
        <w:rPr>
          <w:rFonts w:hint="eastAsia"/>
          <w:lang w:eastAsia="zh-CN"/>
        </w:rPr>
        <w:t>数量以实际发生为准</w:t>
      </w:r>
    </w:p>
    <w:p>
      <w:pPr>
        <w:spacing w:line="288" w:lineRule="auto"/>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r>
        <w:rPr>
          <w:rFonts w:hint="eastAsia" w:ascii="黑体" w:hAnsi="宋体" w:eastAsia="黑体"/>
          <w:bCs/>
          <w:kern w:val="2"/>
          <w:sz w:val="28"/>
          <w:szCs w:val="28"/>
        </w:rPr>
        <w:br w:type="page"/>
      </w:r>
      <w:bookmarkStart w:id="33" w:name="_Toc29920"/>
      <w:r>
        <w:rPr>
          <w:rFonts w:hint="eastAsia" w:ascii="黑体" w:hAnsi="宋体" w:eastAsia="黑体"/>
          <w:bCs/>
          <w:kern w:val="2"/>
          <w:sz w:val="28"/>
          <w:szCs w:val="28"/>
        </w:rPr>
        <w:t>附件2：技术要求</w:t>
      </w:r>
      <w:bookmarkEnd w:id="33"/>
    </w:p>
    <w:p>
      <w:pPr>
        <w:pStyle w:val="3"/>
        <w:spacing w:before="156" w:beforeLines="50" w:beforeAutospacing="0" w:after="156" w:afterLines="50" w:afterAutospacing="0"/>
        <w:jc w:val="center"/>
        <w:rPr>
          <w:rFonts w:hint="eastAsia" w:ascii="黑体" w:eastAsia="黑体"/>
          <w:color w:val="auto"/>
          <w:sz w:val="32"/>
          <w:szCs w:val="32"/>
        </w:rPr>
      </w:pPr>
      <w:r>
        <w:rPr>
          <w:rFonts w:hint="eastAsia"/>
          <w:bCs/>
          <w:color w:val="000000"/>
          <w:sz w:val="32"/>
          <w:szCs w:val="32"/>
          <w:lang w:eastAsia="zh-CN"/>
        </w:rPr>
        <w:t>烯丙基三甲基氯化铵</w:t>
      </w:r>
      <w:r>
        <w:rPr>
          <w:rFonts w:hint="eastAsia" w:hAnsi="宋体"/>
          <w:bCs/>
          <w:color w:val="000000"/>
          <w:sz w:val="32"/>
          <w:szCs w:val="32"/>
          <w:lang w:eastAsia="zh-CN"/>
        </w:rPr>
        <w:t>采购</w:t>
      </w:r>
      <w:r>
        <w:rPr>
          <w:rFonts w:hint="eastAsia" w:hAnsi="宋体"/>
          <w:bCs/>
          <w:color w:val="000000"/>
          <w:sz w:val="32"/>
          <w:szCs w:val="32"/>
        </w:rPr>
        <w:t>招标技术规范</w:t>
      </w:r>
    </w:p>
    <w:p>
      <w:pPr>
        <w:pStyle w:val="3"/>
        <w:keepNext w:val="0"/>
        <w:keepLines w:val="0"/>
        <w:pageBreakBefore w:val="0"/>
        <w:widowControl/>
        <w:kinsoku/>
        <w:wordWrap/>
        <w:overflowPunct/>
        <w:topLinePunct w:val="0"/>
        <w:autoSpaceDE/>
        <w:autoSpaceDN/>
        <w:bidi w:val="0"/>
        <w:adjustRightInd/>
        <w:snapToGrid/>
        <w:spacing w:before="156" w:beforeLines="50" w:beforeAutospacing="0" w:after="156" w:afterLines="50" w:afterAutospacing="0"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bCs/>
          <w:sz w:val="21"/>
          <w:szCs w:val="21"/>
        </w:rPr>
        <w:t>1</w:t>
      </w:r>
      <w:r>
        <w:rPr>
          <w:rFonts w:hint="eastAsia" w:ascii="宋体" w:hAnsi="宋体" w:eastAsia="宋体" w:cs="宋体"/>
          <w:sz w:val="21"/>
          <w:szCs w:val="21"/>
        </w:rPr>
        <w:t xml:space="preserve">  </w:t>
      </w:r>
      <w:r>
        <w:rPr>
          <w:rFonts w:hint="eastAsia" w:ascii="宋体" w:hAnsi="宋体" w:eastAsia="宋体" w:cs="宋体"/>
          <w:bCs/>
          <w:sz w:val="21"/>
          <w:szCs w:val="21"/>
        </w:rPr>
        <w:t>范围</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1.1  本标准适用于烯丙基三甲基氯化铵的物资采购项目招标活动。</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1.2  本标准规定了烯丙基三甲基氯化铵的基本技术要求。当本标准与国家法律、行政法规的规定相抵触时，应按国家法律、行政法规的规定执行。</w:t>
      </w:r>
    </w:p>
    <w:p>
      <w:pPr>
        <w:pStyle w:val="3"/>
        <w:keepNext w:val="0"/>
        <w:keepLines w:val="0"/>
        <w:pageBreakBefore w:val="0"/>
        <w:widowControl/>
        <w:kinsoku/>
        <w:wordWrap/>
        <w:overflowPunct/>
        <w:topLinePunct w:val="0"/>
        <w:autoSpaceDE/>
        <w:autoSpaceDN/>
        <w:bidi w:val="0"/>
        <w:adjustRightInd/>
        <w:snapToGrid/>
        <w:spacing w:before="156" w:beforeLines="50" w:beforeAutospacing="0" w:after="156" w:afterLines="50" w:afterAutospacing="0" w:line="288" w:lineRule="auto"/>
        <w:ind w:firstLine="420" w:firstLineChars="200"/>
        <w:textAlignment w:val="auto"/>
        <w:outlineLvl w:val="9"/>
        <w:rPr>
          <w:rFonts w:hint="eastAsia" w:ascii="宋体" w:hAnsi="宋体" w:eastAsia="宋体" w:cs="宋体"/>
          <w:bCs/>
          <w:sz w:val="21"/>
          <w:szCs w:val="21"/>
        </w:rPr>
      </w:pPr>
      <w:r>
        <w:rPr>
          <w:rFonts w:hint="eastAsia" w:ascii="宋体" w:hAnsi="宋体" w:eastAsia="宋体" w:cs="宋体"/>
          <w:bCs/>
          <w:sz w:val="21"/>
          <w:szCs w:val="21"/>
        </w:rPr>
        <w:t>2  规范性引用文件</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下列文件对于本文件的应用是必不可少的。凡是注日期的引用文件，仅注日期的版本适用于本文件。凡是不注日期的引用文件，其最新版本（包括所有的修改单）适用于本文件。</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GB 15258-2009     化学品安全标签编写规定</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GB/T 16483-2008   化学品安全技术说明书 内容和项目顺序的要求</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GB/T 17519-2013    化学品安全技术说明书编写指南</w:t>
      </w:r>
    </w:p>
    <w:p>
      <w:pPr>
        <w:pStyle w:val="3"/>
        <w:keepNext w:val="0"/>
        <w:keepLines w:val="0"/>
        <w:pageBreakBefore w:val="0"/>
        <w:widowControl/>
        <w:kinsoku/>
        <w:wordWrap/>
        <w:overflowPunct/>
        <w:topLinePunct w:val="0"/>
        <w:autoSpaceDE/>
        <w:autoSpaceDN/>
        <w:bidi w:val="0"/>
        <w:adjustRightInd/>
        <w:snapToGrid/>
        <w:spacing w:before="156" w:beforeLines="50" w:beforeAutospacing="0" w:after="156" w:afterLines="50" w:afterAutospacing="0" w:line="288" w:lineRule="auto"/>
        <w:ind w:firstLine="420" w:firstLineChars="200"/>
        <w:textAlignment w:val="auto"/>
        <w:outlineLvl w:val="9"/>
        <w:rPr>
          <w:rFonts w:hint="eastAsia" w:ascii="宋体" w:hAnsi="宋体" w:eastAsia="宋体" w:cs="宋体"/>
          <w:bCs/>
          <w:sz w:val="21"/>
          <w:szCs w:val="21"/>
        </w:rPr>
      </w:pPr>
      <w:r>
        <w:rPr>
          <w:rFonts w:hint="eastAsia" w:ascii="宋体" w:hAnsi="宋体" w:eastAsia="宋体" w:cs="宋体"/>
          <w:bCs/>
          <w:sz w:val="21"/>
          <w:szCs w:val="21"/>
        </w:rPr>
        <w:t>3  资质要求</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见招标公告</w:t>
      </w:r>
    </w:p>
    <w:p>
      <w:pPr>
        <w:pStyle w:val="3"/>
        <w:keepNext w:val="0"/>
        <w:keepLines w:val="0"/>
        <w:pageBreakBefore w:val="0"/>
        <w:widowControl/>
        <w:kinsoku/>
        <w:wordWrap/>
        <w:overflowPunct/>
        <w:topLinePunct w:val="0"/>
        <w:autoSpaceDE/>
        <w:autoSpaceDN/>
        <w:bidi w:val="0"/>
        <w:adjustRightInd/>
        <w:snapToGrid/>
        <w:spacing w:before="156" w:beforeLines="50" w:beforeAutospacing="0" w:after="156" w:afterLines="50" w:afterAutospacing="0" w:line="288" w:lineRule="auto"/>
        <w:ind w:firstLine="420" w:firstLineChars="200"/>
        <w:textAlignment w:val="auto"/>
        <w:outlineLvl w:val="9"/>
        <w:rPr>
          <w:rFonts w:hint="eastAsia" w:ascii="宋体" w:hAnsi="宋体" w:eastAsia="宋体" w:cs="宋体"/>
          <w:bCs/>
          <w:sz w:val="21"/>
          <w:szCs w:val="21"/>
        </w:rPr>
      </w:pPr>
      <w:r>
        <w:rPr>
          <w:rFonts w:hint="eastAsia" w:ascii="宋体" w:hAnsi="宋体" w:eastAsia="宋体" w:cs="宋体"/>
          <w:bCs/>
          <w:sz w:val="21"/>
          <w:szCs w:val="21"/>
        </w:rPr>
        <w:t>4技术要求</w:t>
      </w:r>
    </w:p>
    <w:p>
      <w:pPr>
        <w:pStyle w:val="3"/>
        <w:keepNext w:val="0"/>
        <w:keepLines w:val="0"/>
        <w:pageBreakBefore w:val="0"/>
        <w:widowControl/>
        <w:kinsoku/>
        <w:wordWrap/>
        <w:overflowPunct/>
        <w:topLinePunct w:val="0"/>
        <w:autoSpaceDE/>
        <w:autoSpaceDN/>
        <w:bidi w:val="0"/>
        <w:adjustRightInd/>
        <w:snapToGrid/>
        <w:spacing w:before="156" w:beforeLines="50" w:beforeAutospacing="0" w:after="156" w:afterLines="50" w:afterAutospacing="0" w:line="288" w:lineRule="auto"/>
        <w:ind w:firstLine="420" w:firstLineChars="200"/>
        <w:textAlignment w:val="auto"/>
        <w:outlineLvl w:val="9"/>
        <w:rPr>
          <w:rFonts w:hint="eastAsia" w:ascii="宋体" w:hAnsi="宋体" w:eastAsia="宋体" w:cs="宋体"/>
          <w:kern w:val="2"/>
          <w:sz w:val="21"/>
          <w:szCs w:val="21"/>
          <w:lang w:val="zh-CN"/>
        </w:rPr>
      </w:pPr>
      <w:r>
        <w:rPr>
          <w:rFonts w:hint="eastAsia" w:ascii="宋体" w:hAnsi="宋体" w:eastAsia="宋体" w:cs="宋体"/>
          <w:kern w:val="2"/>
          <w:sz w:val="21"/>
          <w:szCs w:val="21"/>
          <w:lang w:val="zh-CN"/>
        </w:rPr>
        <w:t>烯丙基三甲基氯化铵在泥浆中能吸附在粘土表面，中和了粘土的部分负电荷，从而抑制了粘土膨胀，起到了良好的稳定作用。</w:t>
      </w:r>
    </w:p>
    <w:p>
      <w:pPr>
        <w:pStyle w:val="3"/>
        <w:keepNext w:val="0"/>
        <w:keepLines w:val="0"/>
        <w:pageBreakBefore w:val="0"/>
        <w:widowControl/>
        <w:kinsoku/>
        <w:wordWrap/>
        <w:overflowPunct/>
        <w:topLinePunct w:val="0"/>
        <w:autoSpaceDE/>
        <w:autoSpaceDN/>
        <w:bidi w:val="0"/>
        <w:adjustRightInd/>
        <w:snapToGrid/>
        <w:spacing w:before="156" w:beforeLines="50" w:beforeAutospacing="0" w:after="156" w:afterLines="50" w:afterAutospacing="0" w:line="288" w:lineRule="auto"/>
        <w:ind w:firstLine="420" w:firstLineChars="200"/>
        <w:textAlignment w:val="auto"/>
        <w:outlineLvl w:val="9"/>
        <w:rPr>
          <w:rFonts w:hint="eastAsia" w:ascii="宋体" w:hAnsi="宋体" w:eastAsia="宋体" w:cs="宋体"/>
          <w:kern w:val="2"/>
          <w:sz w:val="21"/>
          <w:szCs w:val="21"/>
        </w:rPr>
      </w:pPr>
      <w:r>
        <w:rPr>
          <w:rFonts w:hint="eastAsia" w:ascii="宋体" w:hAnsi="宋体" w:eastAsia="宋体" w:cs="宋体"/>
          <w:kern w:val="2"/>
          <w:sz w:val="21"/>
          <w:szCs w:val="21"/>
        </w:rPr>
        <w:t>4.1</w:t>
      </w:r>
      <w:r>
        <w:rPr>
          <w:rFonts w:hint="eastAsia" w:ascii="宋体" w:hAnsi="宋体" w:eastAsia="宋体" w:cs="宋体"/>
          <w:sz w:val="21"/>
          <w:szCs w:val="21"/>
        </w:rPr>
        <w:t>技术指标要求</w:t>
      </w:r>
    </w:p>
    <w:p>
      <w:pPr>
        <w:keepNext w:val="0"/>
        <w:keepLines w:val="0"/>
        <w:pageBreakBefore w:val="0"/>
        <w:widowControl/>
        <w:kinsoku/>
        <w:wordWrap/>
        <w:overflowPunct/>
        <w:topLinePunct w:val="0"/>
        <w:autoSpaceDE/>
        <w:autoSpaceDN/>
        <w:bidi w:val="0"/>
        <w:adjustRightInd/>
        <w:snapToGrid/>
        <w:spacing w:line="288" w:lineRule="auto"/>
        <w:ind w:firstLine="422" w:firstLineChars="200"/>
        <w:jc w:val="center"/>
        <w:textAlignment w:val="auto"/>
        <w:outlineLvl w:val="9"/>
        <w:rPr>
          <w:rFonts w:hint="eastAsia" w:ascii="宋体" w:hAnsi="宋体" w:eastAsia="宋体" w:cs="宋体"/>
          <w:b/>
          <w:bCs/>
          <w:sz w:val="21"/>
          <w:szCs w:val="21"/>
        </w:rPr>
      </w:pPr>
      <w:bookmarkStart w:id="34" w:name="_Toc410741741"/>
      <w:r>
        <w:rPr>
          <w:rFonts w:hint="eastAsia" w:ascii="宋体" w:hAnsi="宋体" w:eastAsia="宋体" w:cs="宋体"/>
          <w:b/>
          <w:bCs/>
          <w:sz w:val="21"/>
          <w:szCs w:val="21"/>
        </w:rPr>
        <w:t>表1 烯丙基三甲基氯化铵技术要求</w:t>
      </w:r>
    </w:p>
    <w:bookmarkEnd w:id="34"/>
    <w:tbl>
      <w:tblPr>
        <w:tblStyle w:val="5"/>
        <w:tblpPr w:leftFromText="180" w:rightFromText="180" w:vertAnchor="text" w:horzAnchor="page" w:tblpXSpec="center" w:tblpY="291"/>
        <w:tblOverlap w:val="never"/>
        <w:tblW w:w="86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8"/>
        <w:gridCol w:w="4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4448" w:type="dxa"/>
            <w:vAlign w:val="center"/>
          </w:tcPr>
          <w:p>
            <w:pPr>
              <w:keepNext w:val="0"/>
              <w:keepLines w:val="0"/>
              <w:pageBreakBefore w:val="0"/>
              <w:widowControl/>
              <w:kinsoku/>
              <w:wordWrap/>
              <w:overflowPunct/>
              <w:topLinePunct w:val="0"/>
              <w:autoSpaceDE/>
              <w:autoSpaceDN/>
              <w:bidi w:val="0"/>
              <w:adjustRightInd/>
              <w:snapToGrid/>
              <w:spacing w:line="288" w:lineRule="auto"/>
              <w:ind w:firstLine="422" w:firstLineChars="200"/>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项  目</w:t>
            </w:r>
          </w:p>
        </w:tc>
        <w:tc>
          <w:tcPr>
            <w:tcW w:w="4172" w:type="dxa"/>
            <w:vAlign w:val="center"/>
          </w:tcPr>
          <w:p>
            <w:pPr>
              <w:keepNext w:val="0"/>
              <w:keepLines w:val="0"/>
              <w:pageBreakBefore w:val="0"/>
              <w:widowControl/>
              <w:kinsoku/>
              <w:wordWrap/>
              <w:overflowPunct/>
              <w:topLinePunct w:val="0"/>
              <w:autoSpaceDE/>
              <w:autoSpaceDN/>
              <w:bidi w:val="0"/>
              <w:adjustRightInd/>
              <w:snapToGrid/>
              <w:spacing w:line="288" w:lineRule="auto"/>
              <w:ind w:firstLine="422" w:firstLineChars="200"/>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4448" w:type="dxa"/>
            <w:vAlign w:val="center"/>
          </w:tcPr>
          <w:p>
            <w:pPr>
              <w:keepNext w:val="0"/>
              <w:keepLines w:val="0"/>
              <w:pageBreakBefore w:val="0"/>
              <w:widowControl/>
              <w:kinsoku/>
              <w:wordWrap/>
              <w:overflowPunct/>
              <w:topLinePunct w:val="0"/>
              <w:autoSpaceDE/>
              <w:autoSpaceDN/>
              <w:bidi w:val="0"/>
              <w:adjustRightInd/>
              <w:snapToGrid/>
              <w:spacing w:line="288" w:lineRule="auto"/>
              <w:ind w:firstLine="420" w:firstLineChars="200"/>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含量，％</w:t>
            </w:r>
          </w:p>
        </w:tc>
        <w:tc>
          <w:tcPr>
            <w:tcW w:w="4172" w:type="dxa"/>
            <w:vAlign w:val="center"/>
          </w:tcPr>
          <w:p>
            <w:pPr>
              <w:keepNext w:val="0"/>
              <w:keepLines w:val="0"/>
              <w:pageBreakBefore w:val="0"/>
              <w:widowControl/>
              <w:kinsoku/>
              <w:wordWrap/>
              <w:overflowPunct/>
              <w:topLinePunct w:val="0"/>
              <w:autoSpaceDE/>
              <w:autoSpaceDN/>
              <w:bidi w:val="0"/>
              <w:adjustRightInd/>
              <w:snapToGrid/>
              <w:spacing w:line="288" w:lineRule="auto"/>
              <w:ind w:firstLine="420" w:firstLineChars="200"/>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&gt;75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4448" w:type="dxa"/>
            <w:vAlign w:val="center"/>
          </w:tcPr>
          <w:p>
            <w:pPr>
              <w:keepNext w:val="0"/>
              <w:keepLines w:val="0"/>
              <w:pageBreakBefore w:val="0"/>
              <w:widowControl/>
              <w:kinsoku/>
              <w:wordWrap/>
              <w:overflowPunct/>
              <w:topLinePunct w:val="0"/>
              <w:autoSpaceDE/>
              <w:autoSpaceDN/>
              <w:bidi w:val="0"/>
              <w:adjustRightInd/>
              <w:snapToGrid/>
              <w:spacing w:line="288" w:lineRule="auto"/>
              <w:ind w:firstLine="420" w:firstLineChars="200"/>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正电荷密度，mmol/g</w:t>
            </w:r>
          </w:p>
        </w:tc>
        <w:tc>
          <w:tcPr>
            <w:tcW w:w="4172" w:type="dxa"/>
            <w:vAlign w:val="center"/>
          </w:tcPr>
          <w:p>
            <w:pPr>
              <w:keepNext w:val="0"/>
              <w:keepLines w:val="0"/>
              <w:pageBreakBefore w:val="0"/>
              <w:widowControl/>
              <w:kinsoku/>
              <w:wordWrap/>
              <w:overflowPunct/>
              <w:topLinePunct w:val="0"/>
              <w:autoSpaceDE/>
              <w:autoSpaceDN/>
              <w:bidi w:val="0"/>
              <w:adjustRightInd/>
              <w:snapToGrid/>
              <w:spacing w:line="288" w:lineRule="auto"/>
              <w:ind w:firstLine="420" w:firstLineChars="200"/>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4448" w:type="dxa"/>
            <w:vAlign w:val="center"/>
          </w:tcPr>
          <w:p>
            <w:pPr>
              <w:keepNext w:val="0"/>
              <w:keepLines w:val="0"/>
              <w:pageBreakBefore w:val="0"/>
              <w:widowControl/>
              <w:kinsoku/>
              <w:wordWrap/>
              <w:overflowPunct/>
              <w:topLinePunct w:val="0"/>
              <w:autoSpaceDE/>
              <w:autoSpaceDN/>
              <w:bidi w:val="0"/>
              <w:adjustRightInd/>
              <w:snapToGrid/>
              <w:spacing w:line="288" w:lineRule="auto"/>
              <w:ind w:firstLine="420" w:firstLineChars="200"/>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1%蒸馏水溶液防膨率，％</w:t>
            </w:r>
          </w:p>
        </w:tc>
        <w:tc>
          <w:tcPr>
            <w:tcW w:w="4172" w:type="dxa"/>
            <w:vAlign w:val="center"/>
          </w:tcPr>
          <w:p>
            <w:pPr>
              <w:keepNext w:val="0"/>
              <w:keepLines w:val="0"/>
              <w:pageBreakBefore w:val="0"/>
              <w:widowControl/>
              <w:kinsoku/>
              <w:wordWrap/>
              <w:overflowPunct/>
              <w:topLinePunct w:val="0"/>
              <w:autoSpaceDE/>
              <w:autoSpaceDN/>
              <w:bidi w:val="0"/>
              <w:adjustRightInd/>
              <w:snapToGrid/>
              <w:spacing w:line="288" w:lineRule="auto"/>
              <w:ind w:firstLine="420" w:firstLineChars="200"/>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&gt;80</w:t>
            </w:r>
          </w:p>
        </w:tc>
      </w:tr>
    </w:tbl>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4.2检测方法</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4.3仪器、设备</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a)电子天平：精度0.001g；</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b)离心机：转速 0-3000r/min。</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4.4 试剂与材料</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a)0.lmol/L的四苯硼钠标准溶液；</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b)甲醛；</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c) 0.1%的达旦黄指示剂；</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d)0.1mol/L十六烷基三甲基溴化铵溶液；</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e) 甲苯胺蓝指示剂；</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f)聚乙烯硫酸钾标准溶液；</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g) 膨润土： 一级膨润土粉（过试验筛，通过SSWO. 150/0. 104,但不通过 SSWO. 075/0. 052）,放入电热恒温干燥箱，于105±1℃下恒温6h,置于干燥器中冷却至 室温，存广口瓶中备用；</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h)干燥煤油：经无水氯化钙干燥。</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4.4 烯丙基三甲基氯化铵含量测试方法</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精确称取待测的烯丙基三甲基氯化铵0. 5-lg（精确至0. 0001g）,置于100ml容量瓶 中用蒸馏水稀释至刻度，准确量取5mL待测的烯丙基三甲基氯化铵溶液于250mL锥形瓶 中，加入</w:t>
      </w:r>
      <m:oMath>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V</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1</m:t>
            </m:r>
            <m:ctrlPr>
              <w:rPr>
                <w:rFonts w:hint="default" w:ascii="Cambria Math" w:hAnsi="Cambria Math" w:cs="Times New Roman"/>
                <w:color w:val="auto"/>
                <w:kern w:val="2"/>
                <w:sz w:val="21"/>
                <w:szCs w:val="24"/>
                <w:lang w:val="en-US"/>
              </w:rPr>
            </m:ctrlPr>
          </m:sub>
        </m:sSub>
      </m:oMath>
      <w:r>
        <w:rPr>
          <w:rFonts w:hint="eastAsia" w:ascii="宋体" w:hAnsi="宋体" w:eastAsia="宋体" w:cs="宋体"/>
          <w:sz w:val="21"/>
          <w:szCs w:val="21"/>
        </w:rPr>
        <w:t>,（—般取10mL）0.lmol/L的四苯硼钠标准溶液（用K+重量法标定），再加入5mL 的甲醛、20%Na0H溶液（质量分数）0. 2mL和5滴0. 1% （质量分数）的达旦黄指示剂溶液，用0.lmol/L十六烷基三甲基溴化铵溶液滴定至V2，按照下式计算烯丙基三甲基氯 化铵质量分数：</w:t>
      </w:r>
    </w:p>
    <w:p>
      <w:pPr>
        <w:keepNext w:val="0"/>
        <w:keepLines w:val="0"/>
        <w:pageBreakBefore w:val="0"/>
        <w:widowControl/>
        <w:kinsoku/>
        <w:wordWrap/>
        <w:overflowPunct/>
        <w:topLinePunct w:val="0"/>
        <w:autoSpaceDE/>
        <w:autoSpaceDN/>
        <w:bidi w:val="0"/>
        <w:adjustRightInd/>
        <w:snapToGrid/>
        <w:spacing w:line="288" w:lineRule="auto"/>
        <w:ind w:firstLine="420" w:firstLineChars="200"/>
        <w:jc w:val="center"/>
        <w:textAlignment w:val="auto"/>
        <w:outlineLvl w:val="9"/>
        <w:rPr>
          <w:rFonts w:hint="eastAsia" w:ascii="宋体" w:hAnsi="宋体" w:eastAsia="宋体" w:cs="宋体"/>
          <w:sz w:val="21"/>
          <w:szCs w:val="21"/>
        </w:rPr>
      </w:pPr>
      <m:oMathPara>
        <m:oMath>
          <m:r>
            <m:rPr>
              <m:sty m:val="p"/>
            </m:rPr>
            <w:rPr>
              <w:rFonts w:hint="default" w:ascii="Cambria Math" w:hAnsi="Cambria Math" w:cs="Times New Roman"/>
              <w:color w:val="auto"/>
              <w:kern w:val="2"/>
              <w:sz w:val="21"/>
              <w:szCs w:val="24"/>
              <w:lang w:val="en-US"/>
            </w:rPr>
            <m:t>W=</m:t>
          </m:r>
          <m:f>
            <m:fPr>
              <m:ctrlPr>
                <w:rPr>
                  <w:rFonts w:hint="default" w:ascii="Cambria Math" w:hAnsi="Cambria Math" w:cs="Times New Roman"/>
                  <w:color w:val="auto"/>
                  <w:kern w:val="2"/>
                  <w:sz w:val="21"/>
                  <w:szCs w:val="24"/>
                  <w:lang w:val="en-US"/>
                </w:rPr>
              </m:ctrlPr>
            </m:fPr>
            <m:num>
              <m:r>
                <m:rPr>
                  <m:sty m:val="p"/>
                </m:rPr>
                <w:rPr>
                  <w:rFonts w:hint="default" w:ascii="Cambria Math" w:hAnsi="Cambria Math" w:cs="Times New Roman"/>
                  <w:color w:val="auto"/>
                  <w:kern w:val="2"/>
                  <w:sz w:val="21"/>
                  <w:szCs w:val="24"/>
                  <w:lang w:val="en-US"/>
                </w:rPr>
                <m:t>2×(</m:t>
              </m:r>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V</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1</m:t>
                  </m:r>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C</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1</m:t>
                      </m:r>
                      <m:ctrlPr>
                        <w:rPr>
                          <w:rFonts w:hint="default" w:ascii="Cambria Math" w:hAnsi="Cambria Math" w:cs="Times New Roman"/>
                          <w:color w:val="auto"/>
                          <w:kern w:val="2"/>
                          <w:sz w:val="21"/>
                          <w:szCs w:val="24"/>
                          <w:lang w:val="en-US"/>
                        </w:rPr>
                      </m:ctrlPr>
                    </m:sub>
                  </m:sSub>
                  <m:ctrlPr>
                    <w:rPr>
                      <w:rFonts w:hint="default" w:ascii="Cambria Math" w:hAnsi="Cambria Math" w:cs="Times New Roman"/>
                      <w:color w:val="auto"/>
                      <w:kern w:val="2"/>
                      <w:sz w:val="21"/>
                      <w:szCs w:val="24"/>
                      <w:lang w:val="en-US"/>
                    </w:rPr>
                  </m:ctrlPr>
                </m:sub>
              </m:sSub>
              <m:r>
                <m:rPr>
                  <m:sty m:val="p"/>
                </m:rPr>
                <w:rPr>
                  <w:rFonts w:hint="default" w:ascii="Cambria Math" w:hAnsi="Cambria Math" w:cs="Times New Roman"/>
                  <w:color w:val="auto"/>
                  <w:kern w:val="2"/>
                  <w:sz w:val="21"/>
                  <w:szCs w:val="24"/>
                  <w:lang w:val="en-US"/>
                </w:rPr>
                <m:t>-</m:t>
              </m:r>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V</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2</m:t>
                  </m:r>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C</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2)</m:t>
                      </m:r>
                      <m:ctrlPr>
                        <w:rPr>
                          <w:rFonts w:hint="default" w:ascii="Cambria Math" w:hAnsi="Cambria Math" w:cs="Times New Roman"/>
                          <w:color w:val="auto"/>
                          <w:kern w:val="2"/>
                          <w:sz w:val="21"/>
                          <w:szCs w:val="24"/>
                          <w:lang w:val="en-US"/>
                        </w:rPr>
                      </m:ctrlPr>
                    </m:sub>
                  </m:sSub>
                  <m:ctrlPr>
                    <w:rPr>
                      <w:rFonts w:hint="default" w:ascii="Cambria Math" w:hAnsi="Cambria Math" w:cs="Times New Roman"/>
                      <w:color w:val="auto"/>
                      <w:kern w:val="2"/>
                      <w:sz w:val="21"/>
                      <w:szCs w:val="24"/>
                      <w:lang w:val="en-US"/>
                    </w:rPr>
                  </m:ctrlPr>
                </m:sub>
              </m:sSub>
              <m:ctrlPr>
                <w:rPr>
                  <w:rFonts w:hint="default" w:ascii="Cambria Math" w:hAnsi="Cambria Math" w:cs="Times New Roman"/>
                  <w:color w:val="auto"/>
                  <w:kern w:val="2"/>
                  <w:sz w:val="21"/>
                  <w:szCs w:val="24"/>
                  <w:lang w:val="en-US"/>
                </w:rPr>
              </m:ctrlPr>
            </m:num>
            <m:den>
              <m:r>
                <m:rPr>
                  <m:sty m:val="p"/>
                </m:rPr>
                <w:rPr>
                  <w:rFonts w:hint="default" w:ascii="Cambria Math" w:hAnsi="Cambria Math" w:cs="Times New Roman"/>
                  <w:color w:val="auto"/>
                  <w:kern w:val="2"/>
                  <w:sz w:val="21"/>
                  <w:szCs w:val="24"/>
                  <w:lang w:val="en-US"/>
                </w:rPr>
                <m:t>W</m:t>
              </m:r>
              <m:ctrlPr>
                <w:rPr>
                  <w:rFonts w:hint="default" w:ascii="Cambria Math" w:hAnsi="Cambria Math" w:cs="Times New Roman"/>
                  <w:color w:val="auto"/>
                  <w:kern w:val="2"/>
                  <w:sz w:val="21"/>
                  <w:szCs w:val="24"/>
                  <w:lang w:val="en-US"/>
                </w:rPr>
              </m:ctrlPr>
            </m:den>
          </m:f>
          <m:r>
            <m:rPr>
              <m:sty m:val="p"/>
            </m:rPr>
            <w:rPr>
              <w:rFonts w:hint="default" w:ascii="Cambria Math" w:hAnsi="Cambria Math" w:cs="Times New Roman"/>
              <w:color w:val="auto"/>
              <w:kern w:val="2"/>
              <w:sz w:val="21"/>
              <w:szCs w:val="24"/>
              <w:lang w:val="en-US"/>
            </w:rPr>
            <m:t>M</m:t>
          </m:r>
        </m:oMath>
      </m:oMathPara>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式中，</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r>
          <m:rPr>
            <m:sty m:val="p"/>
          </m:rPr>
          <w:rPr>
            <w:rFonts w:hint="default" w:ascii="Cambria Math" w:hAnsi="Cambria Math" w:cs="Times New Roman"/>
            <w:color w:val="auto"/>
            <w:kern w:val="2"/>
            <w:sz w:val="21"/>
            <w:szCs w:val="24"/>
            <w:lang w:val="en-US"/>
          </w:rPr>
          <m:t>W</m:t>
        </m:r>
      </m:oMath>
      <w:r>
        <w:rPr>
          <w:rFonts w:hint="eastAsia" w:ascii="宋体" w:hAnsi="宋体" w:eastAsia="宋体" w:cs="宋体"/>
          <w:sz w:val="21"/>
          <w:szCs w:val="21"/>
        </w:rPr>
        <w:t>—烯丙基三甲基氯化铵的质量分数；％</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V</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1</m:t>
            </m:r>
            <m:ctrlPr>
              <w:rPr>
                <w:rFonts w:hint="default" w:ascii="Cambria Math" w:hAnsi="Cambria Math" w:cs="Times New Roman"/>
                <w:color w:val="auto"/>
                <w:kern w:val="2"/>
                <w:sz w:val="21"/>
                <w:szCs w:val="24"/>
                <w:lang w:val="en-US"/>
              </w:rPr>
            </m:ctrlPr>
          </m:sub>
        </m:sSub>
      </m:oMath>
      <w:r>
        <w:rPr>
          <w:rFonts w:hint="eastAsia" w:ascii="宋体" w:hAnsi="宋体" w:eastAsia="宋体" w:cs="宋体"/>
          <w:sz w:val="21"/>
          <w:szCs w:val="21"/>
        </w:rPr>
        <w:t>—四苯硼钠溶液的体积，</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sSub>
          <m:sSubPr>
            <m:ctrlPr>
              <w:rPr>
                <w:rFonts w:hint="default" w:ascii="Cambria Math" w:hAnsi="Cambria Math" w:eastAsia="宋体"/>
                <w:color w:val="auto"/>
                <w:kern w:val="2"/>
                <w:sz w:val="21"/>
                <w:szCs w:val="24"/>
              </w:rPr>
            </m:ctrlPr>
          </m:sSubPr>
          <m:e>
            <m:r>
              <m:rPr>
                <m:sty m:val="p"/>
              </m:rPr>
              <w:rPr>
                <w:rFonts w:hint="default" w:ascii="Cambria Math" w:hAnsi="Cambria Math" w:eastAsia="宋体"/>
                <w:color w:val="auto"/>
                <w:kern w:val="2"/>
                <w:sz w:val="21"/>
                <w:szCs w:val="24"/>
              </w:rPr>
              <m:t>C</m:t>
            </m:r>
            <m:ctrlPr>
              <w:rPr>
                <w:rFonts w:hint="default" w:ascii="Cambria Math" w:hAnsi="Cambria Math" w:eastAsia="宋体"/>
                <w:color w:val="auto"/>
                <w:kern w:val="2"/>
                <w:sz w:val="21"/>
                <w:szCs w:val="24"/>
              </w:rPr>
            </m:ctrlPr>
          </m:e>
          <m:sub>
            <m:r>
              <m:rPr>
                <m:sty m:val="p"/>
              </m:rPr>
              <w:rPr>
                <w:rFonts w:hint="default" w:ascii="Cambria Math" w:hAnsi="Cambria Math" w:eastAsia="宋体"/>
                <w:color w:val="auto"/>
                <w:kern w:val="2"/>
                <w:sz w:val="21"/>
                <w:szCs w:val="24"/>
              </w:rPr>
              <m:t>1</m:t>
            </m:r>
            <m:ctrlPr>
              <w:rPr>
                <w:rFonts w:hint="default" w:ascii="Cambria Math" w:hAnsi="Cambria Math" w:eastAsia="宋体"/>
                <w:color w:val="auto"/>
                <w:kern w:val="2"/>
                <w:sz w:val="21"/>
                <w:szCs w:val="24"/>
              </w:rPr>
            </m:ctrlPr>
          </m:sub>
        </m:sSub>
      </m:oMath>
      <w:r>
        <w:rPr>
          <w:rFonts w:hint="eastAsia" w:ascii="宋体" w:hAnsi="宋体" w:eastAsia="宋体" w:cs="宋体"/>
          <w:sz w:val="21"/>
          <w:szCs w:val="21"/>
        </w:rPr>
        <w:t>一四苯硼钠的浓度，mol/Ls</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C</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2</m:t>
            </m:r>
            <m:ctrlPr>
              <w:rPr>
                <w:rFonts w:hint="default" w:ascii="Cambria Math" w:hAnsi="Cambria Math" w:cs="Times New Roman"/>
                <w:color w:val="auto"/>
                <w:kern w:val="2"/>
                <w:sz w:val="21"/>
                <w:szCs w:val="24"/>
                <w:lang w:val="en-US"/>
              </w:rPr>
            </m:ctrlPr>
          </m:sub>
        </m:sSub>
      </m:oMath>
      <w:r>
        <w:rPr>
          <w:rFonts w:hint="eastAsia" w:ascii="宋体" w:hAnsi="宋体" w:eastAsia="宋体" w:cs="宋体"/>
          <w:sz w:val="21"/>
          <w:szCs w:val="21"/>
        </w:rPr>
        <w:t>一十六烷基三甲基溴化铵溶液的浓度，mol/L；</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V</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2</m:t>
            </m:r>
            <m:ctrlPr>
              <w:rPr>
                <w:rFonts w:hint="default" w:ascii="Cambria Math" w:hAnsi="Cambria Math" w:cs="Times New Roman"/>
                <w:color w:val="auto"/>
                <w:kern w:val="2"/>
                <w:sz w:val="21"/>
                <w:szCs w:val="24"/>
                <w:lang w:val="en-US"/>
              </w:rPr>
            </m:ctrlPr>
          </m:sub>
        </m:sSub>
      </m:oMath>
      <w:r>
        <w:rPr>
          <w:rFonts w:hint="eastAsia" w:ascii="宋体" w:hAnsi="宋体" w:eastAsia="宋体" w:cs="宋体"/>
          <w:sz w:val="21"/>
          <w:szCs w:val="21"/>
        </w:rPr>
        <w:t>-消耗的十六烷基三甲基溴化铵溶液体积，mL;</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W—烯丙基三甲基氯化铵的质量，g;</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M—烯丙基三甲基氯化铵的分子量，135.64;</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4.5 烯丙基三甲基氯化按正电荷密度测试方法</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4.5.1 称取lg （精确至O.OOOlg）烯丙基三甲基氯化铵样品，转移至IOOML容量瓶，用蒸馏水定容。</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4.5.2 称取lmL上述配制好的蒸馏水溶液于锥形瓶中，加入50mL蒸馏水，滴一滴甲苯 胺蓝指示剂，用聚乙烯硫酸钾标准溶液，溶液由蓝变红即为终点。</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4.5.3 正电荷密度计算：</w:t>
      </w:r>
    </w:p>
    <w:p>
      <w:pPr>
        <w:keepNext w:val="0"/>
        <w:keepLines w:val="0"/>
        <w:pageBreakBefore w:val="0"/>
        <w:widowControl/>
        <w:kinsoku/>
        <w:wordWrap/>
        <w:overflowPunct/>
        <w:topLinePunct w:val="0"/>
        <w:autoSpaceDE/>
        <w:autoSpaceDN/>
        <w:bidi w:val="0"/>
        <w:adjustRightInd/>
        <w:snapToGrid/>
        <w:spacing w:line="288" w:lineRule="auto"/>
        <w:ind w:firstLine="420" w:firstLineChars="200"/>
        <w:jc w:val="center"/>
        <w:textAlignment w:val="auto"/>
        <w:outlineLvl w:val="9"/>
        <w:rPr>
          <w:rFonts w:hint="eastAsia" w:ascii="宋体" w:hAnsi="宋体" w:eastAsia="宋体" w:cs="宋体"/>
          <w:sz w:val="21"/>
          <w:szCs w:val="21"/>
        </w:rPr>
      </w:pPr>
      <m:oMathPara>
        <m:oMath>
          <m:r>
            <m:rPr>
              <m:sty m:val="p"/>
            </m:rPr>
            <w:rPr>
              <w:rFonts w:hint="default" w:ascii="Cambria Math" w:hAnsi="Cambria Math" w:cs="Times New Roman"/>
              <w:color w:val="auto"/>
              <w:kern w:val="2"/>
              <w:sz w:val="21"/>
              <w:szCs w:val="24"/>
              <w:lang w:val="en-US"/>
            </w:rPr>
            <m:t>P=</m:t>
          </m:r>
          <m:f>
            <m:fPr>
              <m:ctrlPr>
                <w:rPr>
                  <w:rFonts w:hint="default" w:ascii="Cambria Math" w:hAnsi="Cambria Math" w:cs="Times New Roman"/>
                  <w:color w:val="auto"/>
                  <w:kern w:val="2"/>
                  <w:sz w:val="21"/>
                  <w:szCs w:val="24"/>
                  <w:lang w:val="en-US"/>
                </w:rPr>
              </m:ctrlPr>
            </m:fPr>
            <m:num>
              <m:r>
                <w:rPr>
                  <w:rFonts w:hint="eastAsia" w:ascii="Cambria Math" w:hAnsi="Cambria Math" w:cs="Times New Roman"/>
                  <w:color w:val="auto"/>
                  <w:kern w:val="2"/>
                  <w:sz w:val="21"/>
                  <w:szCs w:val="24"/>
                  <w:lang w:val="en-US"/>
                </w:rPr>
                <m:t>v</m:t>
              </m:r>
              <m:r>
                <m:rPr>
                  <m:sty m:val="p"/>
                </m:rPr>
                <w:rPr>
                  <w:rFonts w:hint="eastAsia" w:ascii="MS Gothic" w:hAnsi="MS Gothic" w:eastAsia="MS Gothic" w:cs="MS Gothic"/>
                  <w:color w:val="auto"/>
                  <w:kern w:val="2"/>
                  <w:sz w:val="21"/>
                  <w:szCs w:val="24"/>
                  <w:lang w:val="en-US"/>
                </w:rPr>
                <m:t>*</m:t>
              </m:r>
              <m:r>
                <w:rPr>
                  <w:rFonts w:hint="eastAsia" w:ascii="Cambria Math" w:hAnsi="Cambria Math" w:cs="Times New Roman"/>
                  <w:color w:val="auto"/>
                  <w:kern w:val="2"/>
                  <w:sz w:val="21"/>
                  <w:szCs w:val="24"/>
                  <w:lang w:val="en-US"/>
                </w:rPr>
                <m:t>c</m:t>
              </m:r>
              <m:ctrlPr>
                <w:rPr>
                  <w:rFonts w:hint="default" w:ascii="Cambria Math" w:hAnsi="Cambria Math" w:cs="Times New Roman"/>
                  <w:color w:val="auto"/>
                  <w:kern w:val="2"/>
                  <w:sz w:val="21"/>
                  <w:szCs w:val="24"/>
                  <w:lang w:val="en-US"/>
                </w:rPr>
              </m:ctrlPr>
            </m:num>
            <m:den>
              <m:r>
                <w:rPr>
                  <w:rFonts w:hint="eastAsia" w:ascii="Cambria Math" w:hAnsi="Cambria Math" w:cs="Times New Roman"/>
                  <w:color w:val="auto"/>
                  <w:kern w:val="2"/>
                  <w:sz w:val="21"/>
                  <w:szCs w:val="24"/>
                  <w:lang w:val="en-US"/>
                </w:rPr>
                <m:t>m</m:t>
              </m:r>
              <m:ctrlPr>
                <w:rPr>
                  <w:rFonts w:hint="default" w:ascii="Cambria Math" w:hAnsi="Cambria Math" w:cs="Times New Roman"/>
                  <w:color w:val="auto"/>
                  <w:kern w:val="2"/>
                  <w:sz w:val="21"/>
                  <w:szCs w:val="24"/>
                  <w:lang w:val="en-US"/>
                </w:rPr>
              </m:ctrlPr>
            </m:den>
          </m:f>
        </m:oMath>
      </m:oMathPara>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式中：</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P一正电荷密度，mmol/g；</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r>
          <w:rPr>
            <w:rFonts w:hint="eastAsia" w:ascii="Cambria Math" w:hAnsi="Cambria Math" w:cs="Times New Roman"/>
            <w:color w:val="auto"/>
            <w:kern w:val="2"/>
            <w:sz w:val="21"/>
            <w:szCs w:val="24"/>
            <w:lang w:val="en-US"/>
          </w:rPr>
          <m:t>v</m:t>
        </m:r>
      </m:oMath>
      <w:r>
        <w:rPr>
          <w:rFonts w:hint="eastAsia" w:ascii="宋体" w:hAnsi="宋体" w:eastAsia="宋体" w:cs="宋体"/>
          <w:sz w:val="21"/>
          <w:szCs w:val="21"/>
        </w:rPr>
        <w:t xml:space="preserve">—滴定所消耗的聚乙烯硫酸铵标准溶液的体积，mL; </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r>
          <w:rPr>
            <w:rFonts w:hint="eastAsia" w:ascii="Cambria Math" w:hAnsi="Cambria Math" w:cs="Times New Roman"/>
            <w:color w:val="auto"/>
            <w:kern w:val="2"/>
            <w:sz w:val="21"/>
            <w:szCs w:val="24"/>
            <w:lang w:val="en-US"/>
          </w:rPr>
          <m:t>c</m:t>
        </m:r>
      </m:oMath>
      <w:r>
        <w:rPr>
          <w:rFonts w:hint="eastAsia" w:ascii="宋体" w:hAnsi="宋体" w:eastAsia="宋体" w:cs="宋体"/>
          <w:sz w:val="21"/>
          <w:szCs w:val="21"/>
        </w:rPr>
        <w:t xml:space="preserve">一聚乙烯硫酸钾标准溶液的浓度，mol/L, </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r>
          <w:rPr>
            <w:rFonts w:hint="eastAsia" w:ascii="Cambria Math" w:hAnsi="Cambria Math" w:cs="Times New Roman"/>
            <w:color w:val="auto"/>
            <w:kern w:val="2"/>
            <w:sz w:val="21"/>
            <w:szCs w:val="24"/>
            <w:lang w:val="en-US"/>
          </w:rPr>
          <m:t>m</m:t>
        </m:r>
      </m:oMath>
      <w:r>
        <w:rPr>
          <w:rFonts w:hint="eastAsia" w:ascii="宋体" w:hAnsi="宋体" w:eastAsia="宋体" w:cs="宋体"/>
          <w:sz w:val="21"/>
          <w:szCs w:val="21"/>
        </w:rPr>
        <w:t>—称取烯丙基三甲基氯化铵的质量，g。</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4.5.5 防膨率测定</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4.5.5.1 烯丙基三甲基氯化铵溶液：准确称取l.Og （精确至O.OOOlg）烯丙基三甲基氯化铵，配成质量分数为1.0%烯丙基三甲基氯化铵蒸馏水溶液；</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4.5.5.2 称取0.50g （精确至0.Olg）膨润土粉，装入lOmL离心管中，加入10mL （4.5.1 配制）烯丙基三甲基氯化铵水溶液，充分搅拌均匀，在室温下存放2h后，装入离心机 内，在转速为1500r/min离心15min,读出膨润土膨胀后的体积</w:t>
      </w:r>
      <m:oMath>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V</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1</m:t>
            </m:r>
            <m:ctrlPr>
              <w:rPr>
                <w:rFonts w:hint="default" w:ascii="Cambria Math" w:hAnsi="Cambria Math" w:cs="Times New Roman"/>
                <w:color w:val="auto"/>
                <w:kern w:val="2"/>
                <w:sz w:val="21"/>
                <w:szCs w:val="24"/>
                <w:lang w:val="en-US"/>
              </w:rPr>
            </m:ctrlPr>
          </m:sub>
        </m:sSub>
      </m:oMath>
      <w:r>
        <w:rPr>
          <w:rFonts w:hint="eastAsia" w:ascii="宋体" w:hAnsi="宋体" w:eastAsia="宋体" w:cs="宋体"/>
          <w:sz w:val="21"/>
          <w:szCs w:val="21"/>
        </w:rPr>
        <w:t>:</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4.5.5.3 重复4.5.5.2,用lOmL蒸馏水取代1.0%烯丙基三甲基氯化铵溶液，测定膨润土在水中的膨胀体积V2:</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4.5.5.4 重复4.5.5.2,用10mL煤油取代1. 0%烯丙基三甲基氯化铵溶液，测定膨润土在煤 油中的膨胀体积</w:t>
      </w:r>
      <m:oMath>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V</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0</m:t>
            </m:r>
            <m:ctrlPr>
              <w:rPr>
                <w:rFonts w:hint="default" w:ascii="Cambria Math" w:hAnsi="Cambria Math" w:cs="Times New Roman"/>
                <w:color w:val="auto"/>
                <w:kern w:val="2"/>
                <w:sz w:val="21"/>
                <w:szCs w:val="24"/>
                <w:lang w:val="en-US"/>
              </w:rPr>
            </m:ctrlPr>
          </m:sub>
        </m:sSub>
      </m:oMath>
      <w:r>
        <w:rPr>
          <w:rFonts w:hint="eastAsia" w:ascii="宋体" w:hAnsi="宋体" w:eastAsia="宋体" w:cs="宋体"/>
          <w:sz w:val="21"/>
          <w:szCs w:val="21"/>
        </w:rPr>
        <w:t>。</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4.5.5.5 防膨率计算</w:t>
      </w:r>
    </w:p>
    <w:p>
      <w:pPr>
        <w:keepNext w:val="0"/>
        <w:keepLines w:val="0"/>
        <w:pageBreakBefore w:val="0"/>
        <w:widowControl/>
        <w:kinsoku/>
        <w:wordWrap/>
        <w:overflowPunct/>
        <w:topLinePunct w:val="0"/>
        <w:autoSpaceDE/>
        <w:autoSpaceDN/>
        <w:bidi w:val="0"/>
        <w:adjustRightInd/>
        <w:snapToGrid/>
        <w:spacing w:line="288" w:lineRule="auto"/>
        <w:ind w:firstLine="420" w:firstLineChars="200"/>
        <w:jc w:val="center"/>
        <w:textAlignment w:val="auto"/>
        <w:outlineLvl w:val="9"/>
        <w:rPr>
          <w:rFonts w:hint="eastAsia" w:ascii="宋体" w:hAnsi="宋体" w:eastAsia="宋体" w:cs="宋体"/>
          <w:sz w:val="21"/>
          <w:szCs w:val="21"/>
        </w:rPr>
      </w:pPr>
      <m:oMathPara>
        <m:oMath>
          <m:r>
            <m:rPr>
              <m:sty m:val="p"/>
            </m:rPr>
            <w:rPr>
              <w:rFonts w:hint="default" w:ascii="Cambria Math" w:hAnsi="Cambria Math" w:eastAsia="宋体"/>
              <w:color w:val="auto"/>
              <w:kern w:val="2"/>
              <w:sz w:val="21"/>
              <w:szCs w:val="24"/>
            </w:rPr>
            <m:t>B1=</m:t>
          </m:r>
          <m:f>
            <m:fPr>
              <m:ctrlPr>
                <w:rPr>
                  <w:rFonts w:hint="default" w:ascii="Cambria Math" w:hAnsi="Cambria Math" w:eastAsia="宋体"/>
                  <w:color w:val="auto"/>
                  <w:kern w:val="2"/>
                  <w:sz w:val="21"/>
                  <w:szCs w:val="24"/>
                </w:rPr>
              </m:ctrlPr>
            </m:fPr>
            <m:num>
              <m:sSub>
                <m:sSubPr>
                  <m:ctrlPr>
                    <w:rPr>
                      <w:rFonts w:hint="default" w:ascii="Cambria Math" w:hAnsi="Cambria Math" w:eastAsia="宋体"/>
                      <w:color w:val="auto"/>
                      <w:kern w:val="2"/>
                      <w:sz w:val="21"/>
                      <w:szCs w:val="24"/>
                    </w:rPr>
                  </m:ctrlPr>
                </m:sSubPr>
                <m:e>
                  <m:r>
                    <m:rPr>
                      <m:sty m:val="p"/>
                    </m:rPr>
                    <w:rPr>
                      <w:rFonts w:hint="default" w:ascii="Cambria Math" w:hAnsi="Cambria Math" w:eastAsia="宋体"/>
                      <w:color w:val="auto"/>
                      <w:kern w:val="2"/>
                      <w:sz w:val="21"/>
                      <w:szCs w:val="24"/>
                    </w:rPr>
                    <m:t>V</m:t>
                  </m:r>
                  <m:ctrlPr>
                    <w:rPr>
                      <w:rFonts w:hint="default" w:ascii="Cambria Math" w:hAnsi="Cambria Math" w:eastAsia="宋体"/>
                      <w:color w:val="auto"/>
                      <w:kern w:val="2"/>
                      <w:sz w:val="21"/>
                      <w:szCs w:val="24"/>
                    </w:rPr>
                  </m:ctrlPr>
                </m:e>
                <m:sub>
                  <m:r>
                    <m:rPr>
                      <m:sty m:val="p"/>
                    </m:rPr>
                    <w:rPr>
                      <w:rFonts w:hint="default" w:ascii="Cambria Math" w:hAnsi="Cambria Math" w:eastAsia="宋体"/>
                      <w:color w:val="auto"/>
                      <w:kern w:val="2"/>
                      <w:sz w:val="21"/>
                      <w:szCs w:val="24"/>
                    </w:rPr>
                    <m:t>2</m:t>
                  </m:r>
                  <m:ctrlPr>
                    <w:rPr>
                      <w:rFonts w:hint="default" w:ascii="Cambria Math" w:hAnsi="Cambria Math" w:eastAsia="宋体"/>
                      <w:color w:val="auto"/>
                      <w:kern w:val="2"/>
                      <w:sz w:val="21"/>
                      <w:szCs w:val="24"/>
                    </w:rPr>
                  </m:ctrlPr>
                </m:sub>
              </m:sSub>
              <m:r>
                <m:rPr>
                  <m:sty m:val="p"/>
                </m:rPr>
                <w:rPr>
                  <w:rFonts w:hint="default" w:ascii="Cambria Math" w:hAnsi="Cambria Math" w:eastAsia="宋体"/>
                  <w:color w:val="auto"/>
                  <w:kern w:val="2"/>
                  <w:sz w:val="21"/>
                  <w:szCs w:val="24"/>
                </w:rPr>
                <m:t>-</m:t>
              </m:r>
              <m:sSub>
                <m:sSubPr>
                  <m:ctrlPr>
                    <w:rPr>
                      <w:rFonts w:hint="default" w:ascii="Cambria Math" w:hAnsi="Cambria Math" w:eastAsia="宋体"/>
                      <w:color w:val="auto"/>
                      <w:kern w:val="2"/>
                      <w:sz w:val="21"/>
                      <w:szCs w:val="24"/>
                    </w:rPr>
                  </m:ctrlPr>
                </m:sSubPr>
                <m:e>
                  <m:r>
                    <m:rPr>
                      <m:sty m:val="p"/>
                    </m:rPr>
                    <w:rPr>
                      <w:rFonts w:hint="default" w:ascii="Cambria Math" w:hAnsi="Cambria Math" w:eastAsia="宋体"/>
                      <w:color w:val="auto"/>
                      <w:kern w:val="2"/>
                      <w:sz w:val="21"/>
                      <w:szCs w:val="24"/>
                    </w:rPr>
                    <m:t>V</m:t>
                  </m:r>
                  <m:ctrlPr>
                    <w:rPr>
                      <w:rFonts w:hint="default" w:ascii="Cambria Math" w:hAnsi="Cambria Math" w:eastAsia="宋体"/>
                      <w:color w:val="auto"/>
                      <w:kern w:val="2"/>
                      <w:sz w:val="21"/>
                      <w:szCs w:val="24"/>
                    </w:rPr>
                  </m:ctrlPr>
                </m:e>
                <m:sub>
                  <m:r>
                    <m:rPr>
                      <m:sty m:val="p"/>
                    </m:rPr>
                    <w:rPr>
                      <w:rFonts w:hint="default" w:ascii="Cambria Math" w:hAnsi="Cambria Math" w:eastAsia="宋体"/>
                      <w:color w:val="auto"/>
                      <w:kern w:val="2"/>
                      <w:sz w:val="21"/>
                      <w:szCs w:val="24"/>
                    </w:rPr>
                    <m:t>1</m:t>
                  </m:r>
                  <m:ctrlPr>
                    <w:rPr>
                      <w:rFonts w:hint="default" w:ascii="Cambria Math" w:hAnsi="Cambria Math" w:eastAsia="宋体"/>
                      <w:color w:val="auto"/>
                      <w:kern w:val="2"/>
                      <w:sz w:val="21"/>
                      <w:szCs w:val="24"/>
                    </w:rPr>
                  </m:ctrlPr>
                </m:sub>
              </m:sSub>
              <m:ctrlPr>
                <w:rPr>
                  <w:rFonts w:hint="default" w:ascii="Cambria Math" w:hAnsi="Cambria Math" w:eastAsia="宋体"/>
                  <w:color w:val="auto"/>
                  <w:kern w:val="2"/>
                  <w:sz w:val="21"/>
                  <w:szCs w:val="24"/>
                </w:rPr>
              </m:ctrlPr>
            </m:num>
            <m:den>
              <m:sSub>
                <m:sSubPr>
                  <m:ctrlPr>
                    <w:rPr>
                      <w:rFonts w:hint="default" w:ascii="Cambria Math" w:hAnsi="Cambria Math" w:eastAsia="宋体"/>
                      <w:color w:val="auto"/>
                      <w:kern w:val="2"/>
                      <w:sz w:val="21"/>
                      <w:szCs w:val="24"/>
                    </w:rPr>
                  </m:ctrlPr>
                </m:sSubPr>
                <m:e>
                  <m:r>
                    <m:rPr>
                      <m:sty m:val="p"/>
                    </m:rPr>
                    <w:rPr>
                      <w:rFonts w:hint="default" w:ascii="Cambria Math" w:hAnsi="Cambria Math" w:eastAsia="宋体"/>
                      <w:color w:val="auto"/>
                      <w:kern w:val="2"/>
                      <w:sz w:val="21"/>
                      <w:szCs w:val="24"/>
                    </w:rPr>
                    <m:t>V</m:t>
                  </m:r>
                  <m:ctrlPr>
                    <w:rPr>
                      <w:rFonts w:hint="default" w:ascii="Cambria Math" w:hAnsi="Cambria Math" w:eastAsia="宋体"/>
                      <w:color w:val="auto"/>
                      <w:kern w:val="2"/>
                      <w:sz w:val="21"/>
                      <w:szCs w:val="24"/>
                    </w:rPr>
                  </m:ctrlPr>
                </m:e>
                <m:sub>
                  <m:r>
                    <m:rPr>
                      <m:sty m:val="p"/>
                    </m:rPr>
                    <w:rPr>
                      <w:rFonts w:hint="default" w:ascii="Cambria Math" w:hAnsi="Cambria Math" w:eastAsia="宋体"/>
                      <w:color w:val="auto"/>
                      <w:kern w:val="2"/>
                      <w:sz w:val="21"/>
                      <w:szCs w:val="24"/>
                    </w:rPr>
                    <m:t>2</m:t>
                  </m:r>
                  <m:ctrlPr>
                    <w:rPr>
                      <w:rFonts w:hint="default" w:ascii="Cambria Math" w:hAnsi="Cambria Math" w:eastAsia="宋体"/>
                      <w:color w:val="auto"/>
                      <w:kern w:val="2"/>
                      <w:sz w:val="21"/>
                      <w:szCs w:val="24"/>
                    </w:rPr>
                  </m:ctrlPr>
                </m:sub>
              </m:sSub>
              <m:r>
                <m:rPr>
                  <m:sty m:val="p"/>
                </m:rPr>
                <w:rPr>
                  <w:rFonts w:hint="default" w:ascii="Cambria Math" w:hAnsi="Cambria Math" w:eastAsia="宋体"/>
                  <w:color w:val="auto"/>
                  <w:kern w:val="2"/>
                  <w:sz w:val="21"/>
                  <w:szCs w:val="24"/>
                </w:rPr>
                <m:t>-</m:t>
              </m:r>
              <m:sSub>
                <m:sSubPr>
                  <m:ctrlPr>
                    <w:rPr>
                      <w:rFonts w:hint="default" w:ascii="Cambria Math" w:hAnsi="Cambria Math" w:eastAsia="宋体"/>
                      <w:color w:val="auto"/>
                      <w:kern w:val="2"/>
                      <w:sz w:val="21"/>
                      <w:szCs w:val="24"/>
                    </w:rPr>
                  </m:ctrlPr>
                </m:sSubPr>
                <m:e>
                  <m:r>
                    <m:rPr>
                      <m:sty m:val="p"/>
                    </m:rPr>
                    <w:rPr>
                      <w:rFonts w:hint="default" w:ascii="Cambria Math" w:hAnsi="Cambria Math" w:eastAsia="宋体"/>
                      <w:color w:val="auto"/>
                      <w:kern w:val="2"/>
                      <w:sz w:val="21"/>
                      <w:szCs w:val="24"/>
                    </w:rPr>
                    <m:t>V</m:t>
                  </m:r>
                  <m:ctrlPr>
                    <w:rPr>
                      <w:rFonts w:hint="default" w:ascii="Cambria Math" w:hAnsi="Cambria Math" w:eastAsia="宋体"/>
                      <w:color w:val="auto"/>
                      <w:kern w:val="2"/>
                      <w:sz w:val="21"/>
                      <w:szCs w:val="24"/>
                    </w:rPr>
                  </m:ctrlPr>
                </m:e>
                <m:sub>
                  <m:r>
                    <m:rPr>
                      <m:sty m:val="p"/>
                    </m:rPr>
                    <w:rPr>
                      <w:rFonts w:hint="default" w:ascii="Cambria Math" w:hAnsi="Cambria Math" w:eastAsia="宋体"/>
                      <w:color w:val="auto"/>
                      <w:kern w:val="2"/>
                      <w:sz w:val="21"/>
                      <w:szCs w:val="24"/>
                    </w:rPr>
                    <m:t>0</m:t>
                  </m:r>
                  <m:ctrlPr>
                    <w:rPr>
                      <w:rFonts w:hint="default" w:ascii="Cambria Math" w:hAnsi="Cambria Math" w:eastAsia="宋体"/>
                      <w:color w:val="auto"/>
                      <w:kern w:val="2"/>
                      <w:sz w:val="21"/>
                      <w:szCs w:val="24"/>
                    </w:rPr>
                  </m:ctrlPr>
                </m:sub>
              </m:sSub>
              <m:ctrlPr>
                <w:rPr>
                  <w:rFonts w:hint="default" w:ascii="Cambria Math" w:hAnsi="Cambria Math" w:eastAsia="宋体"/>
                  <w:color w:val="auto"/>
                  <w:kern w:val="2"/>
                  <w:sz w:val="21"/>
                  <w:szCs w:val="24"/>
                </w:rPr>
              </m:ctrlPr>
            </m:den>
          </m:f>
          <m:r>
            <m:rPr>
              <m:sty m:val="p"/>
            </m:rPr>
            <w:rPr>
              <w:rFonts w:hint="default" w:ascii="Cambria Math" w:hAnsi="Cambria Math" w:eastAsia="宋体"/>
              <w:color w:val="auto"/>
              <w:kern w:val="2"/>
              <w:sz w:val="21"/>
              <w:szCs w:val="24"/>
            </w:rPr>
            <m:t>×100%</m:t>
          </m:r>
        </m:oMath>
      </m:oMathPara>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式中：</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r>
          <m:rPr>
            <m:sty m:val="p"/>
          </m:rPr>
          <w:rPr>
            <w:rFonts w:hint="default" w:ascii="Cambria Math" w:hAnsi="Cambria Math" w:cs="Times New Roman"/>
            <w:color w:val="auto"/>
            <w:kern w:val="2"/>
            <w:sz w:val="21"/>
            <w:szCs w:val="24"/>
            <w:lang w:val="en-US"/>
          </w:rPr>
          <m:t>B1</m:t>
        </m:r>
      </m:oMath>
      <w:r>
        <w:rPr>
          <w:rFonts w:hint="eastAsia" w:ascii="宋体" w:hAnsi="宋体" w:eastAsia="宋体" w:cs="宋体"/>
          <w:sz w:val="21"/>
          <w:szCs w:val="21"/>
        </w:rPr>
        <w:t>—防膨率，％；</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V</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1</m:t>
            </m:r>
            <m:ctrlPr>
              <w:rPr>
                <w:rFonts w:hint="default" w:ascii="Cambria Math" w:hAnsi="Cambria Math" w:cs="Times New Roman"/>
                <w:color w:val="auto"/>
                <w:kern w:val="2"/>
                <w:sz w:val="21"/>
                <w:szCs w:val="24"/>
                <w:lang w:val="en-US"/>
              </w:rPr>
            </m:ctrlPr>
          </m:sub>
        </m:sSub>
      </m:oMath>
      <w:r>
        <w:rPr>
          <w:rFonts w:hint="eastAsia" w:ascii="宋体" w:hAnsi="宋体" w:eastAsia="宋体" w:cs="宋体"/>
          <w:sz w:val="21"/>
          <w:szCs w:val="21"/>
        </w:rPr>
        <w:t>—膨润土在烯丙基三甲基氯化铵溶液中的膨胀体积，mL；</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V</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2</m:t>
            </m:r>
            <m:ctrlPr>
              <w:rPr>
                <w:rFonts w:hint="default" w:ascii="Cambria Math" w:hAnsi="Cambria Math" w:cs="Times New Roman"/>
                <w:color w:val="auto"/>
                <w:kern w:val="2"/>
                <w:sz w:val="21"/>
                <w:szCs w:val="24"/>
                <w:lang w:val="en-US"/>
              </w:rPr>
            </m:ctrlPr>
          </m:sub>
        </m:sSub>
      </m:oMath>
      <w:r>
        <w:rPr>
          <w:rFonts w:hint="eastAsia" w:ascii="宋体" w:hAnsi="宋体" w:eastAsia="宋体" w:cs="宋体"/>
          <w:sz w:val="21"/>
          <w:szCs w:val="21"/>
        </w:rPr>
        <w:t>—膨润土在蒸馏水中的膨胀体积，mL；</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V</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0</m:t>
            </m:r>
            <m:ctrlPr>
              <w:rPr>
                <w:rFonts w:hint="default" w:ascii="Cambria Math" w:hAnsi="Cambria Math" w:cs="Times New Roman"/>
                <w:color w:val="auto"/>
                <w:kern w:val="2"/>
                <w:sz w:val="21"/>
                <w:szCs w:val="24"/>
                <w:lang w:val="en-US"/>
              </w:rPr>
            </m:ctrlPr>
          </m:sub>
        </m:sSub>
      </m:oMath>
      <w:r>
        <w:rPr>
          <w:rFonts w:hint="eastAsia" w:ascii="宋体" w:hAnsi="宋体" w:eastAsia="宋体" w:cs="宋体"/>
          <w:sz w:val="21"/>
          <w:szCs w:val="21"/>
        </w:rPr>
        <w:t>—膨润土在煤油中的膨胀体积，mL。</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测定结果相对偏差不大于0.5%时，取平行测定结果的算术平均值为最终测定结果， 否则重新测定。</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4.6 产品要求</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4.6.1 质量要求及技术标准：所供产品质量合格，符合本次招标技术要求。</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4.6.2 服务要求：（1）保证所供产品为合格产品，并提供相应的资料。（2）质保期：自货到验收合格之日起1年。质保期内因产品质量问题发生的一切费用及相关法律责任均由卖方承担。质保期内，产品出现质量问题，在接到买方通知后24小时必须赶到现场进行处理。</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4.7 样品检测</w:t>
      </w:r>
    </w:p>
    <w:p>
      <w:pPr>
        <w:keepNext w:val="0"/>
        <w:keepLines w:val="0"/>
        <w:pageBreakBefore w:val="0"/>
        <w:widowControl/>
        <w:kinsoku/>
        <w:wordWrap/>
        <w:overflowPunct/>
        <w:topLinePunct w:val="0"/>
        <w:autoSpaceDE/>
        <w:autoSpaceDN/>
        <w:bidi w:val="0"/>
        <w:adjustRightInd/>
        <w:snapToGrid/>
        <w:spacing w:line="288" w:lineRule="auto"/>
        <w:ind w:firstLine="422" w:firstLineChars="200"/>
        <w:jc w:val="left"/>
        <w:textAlignment w:val="auto"/>
        <w:outlineLvl w:val="9"/>
        <w:rPr>
          <w:rFonts w:hint="eastAsia" w:ascii="宋体" w:hAnsi="宋体" w:eastAsia="宋体" w:cs="宋体"/>
          <w:b/>
          <w:bCs/>
          <w:color w:val="FF0000"/>
          <w:kern w:val="0"/>
          <w:sz w:val="21"/>
          <w:szCs w:val="21"/>
        </w:rPr>
      </w:pPr>
      <w:r>
        <w:rPr>
          <w:rFonts w:hint="eastAsia" w:ascii="宋体" w:hAnsi="宋体" w:eastAsia="宋体" w:cs="宋体"/>
          <w:b/>
          <w:bCs/>
          <w:color w:val="FF0000"/>
          <w:sz w:val="21"/>
          <w:szCs w:val="21"/>
          <w:lang w:val="zh-CN"/>
        </w:rPr>
        <w:t>本项目评标结果公示后招标人通知第一中标候选人3 个工作日内送样，由招标人送</w:t>
      </w:r>
      <w:r>
        <w:rPr>
          <w:rFonts w:hint="eastAsia" w:ascii="宋体" w:hAnsi="宋体" w:eastAsia="宋体" w:cs="宋体"/>
          <w:b/>
          <w:bCs/>
          <w:color w:val="FF0000"/>
          <w:sz w:val="21"/>
          <w:szCs w:val="21"/>
        </w:rPr>
        <w:t>具有CMA</w:t>
      </w:r>
      <w:r>
        <w:rPr>
          <w:rFonts w:hint="eastAsia" w:ascii="宋体" w:hAnsi="宋体" w:eastAsia="宋体" w:cs="宋体"/>
          <w:b/>
          <w:bCs/>
          <w:color w:val="FF0000"/>
          <w:sz w:val="21"/>
          <w:szCs w:val="21"/>
          <w:lang w:val="zh-CN"/>
        </w:rPr>
        <w:t>检测</w:t>
      </w:r>
      <w:r>
        <w:rPr>
          <w:rFonts w:hint="eastAsia" w:ascii="宋体" w:hAnsi="宋体" w:eastAsia="宋体" w:cs="宋体"/>
          <w:b/>
          <w:bCs/>
          <w:color w:val="FF0000"/>
          <w:sz w:val="21"/>
          <w:szCs w:val="21"/>
        </w:rPr>
        <w:t>资质的检测</w:t>
      </w:r>
      <w:r>
        <w:rPr>
          <w:rFonts w:hint="eastAsia" w:ascii="宋体" w:hAnsi="宋体" w:eastAsia="宋体" w:cs="宋体"/>
          <w:b/>
          <w:bCs/>
          <w:color w:val="FF0000"/>
          <w:sz w:val="21"/>
          <w:szCs w:val="21"/>
          <w:lang w:val="zh-CN"/>
        </w:rPr>
        <w:t>机构进行检测。样品检测合格方可下发中标通知书。检测费由第一中标候选人自行到检测机构交款，若样品不合格或逾期送样，则顺延下一名次中标候选人，直至产生合格者。若全部中标候选人均不合格，则重新招标。</w:t>
      </w:r>
    </w:p>
    <w:p>
      <w:pPr>
        <w:keepNext w:val="0"/>
        <w:keepLines w:val="0"/>
        <w:pageBreakBefore w:val="0"/>
        <w:widowControl/>
        <w:kinsoku/>
        <w:wordWrap/>
        <w:overflowPunct/>
        <w:topLinePunct w:val="0"/>
        <w:autoSpaceDE/>
        <w:autoSpaceDN/>
        <w:bidi w:val="0"/>
        <w:adjustRightInd/>
        <w:snapToGrid/>
        <w:spacing w:line="288" w:lineRule="auto"/>
        <w:ind w:firstLine="440" w:firstLineChars="200"/>
        <w:textAlignment w:val="auto"/>
        <w:outlineLvl w:val="9"/>
        <w:rPr>
          <w:rFonts w:hint="eastAsia"/>
        </w:rPr>
      </w:pPr>
    </w:p>
    <w:p>
      <w:pPr>
        <w:pStyle w:val="2"/>
        <w:bidi w:val="0"/>
        <w:rPr>
          <w:rFonts w:hint="eastAsia" w:ascii="黑体" w:hAnsi="宋体" w:eastAsia="黑体"/>
          <w:bCs/>
          <w:kern w:val="2"/>
          <w:sz w:val="28"/>
          <w:szCs w:val="28"/>
          <w:lang w:val="en-US" w:eastAsia="zh-CN"/>
        </w:rPr>
      </w:pPr>
      <w:r>
        <w:rPr>
          <w:rFonts w:hint="eastAsia"/>
        </w:rPr>
        <w:br w:type="page"/>
      </w:r>
      <w:bookmarkStart w:id="35" w:name="_Toc10128"/>
      <w:bookmarkStart w:id="36" w:name="_Toc15481775"/>
      <w:r>
        <w:rPr>
          <w:rFonts w:hint="eastAsia" w:ascii="黑体" w:hAnsi="宋体" w:eastAsia="黑体"/>
          <w:bCs/>
          <w:kern w:val="2"/>
          <w:sz w:val="28"/>
          <w:szCs w:val="28"/>
          <w:lang w:val="en-US" w:eastAsia="zh-CN"/>
        </w:rPr>
        <w:t>附件3：《中国石油天然气集团有限公司投标人失信行为管理办法（试行）》</w:t>
      </w:r>
      <w:bookmarkEnd w:id="35"/>
    </w:p>
    <w:p>
      <w:pPr>
        <w:spacing w:line="288" w:lineRule="auto"/>
        <w:outlineLvl w:val="2"/>
        <w:rPr>
          <w:rFonts w:hint="eastAsia"/>
        </w:rPr>
      </w:pPr>
      <w:bookmarkStart w:id="37" w:name="_Toc17835"/>
      <w:r>
        <w:rPr>
          <w:rFonts w:hint="eastAsia" w:ascii="黑体" w:hAnsi="宋体" w:eastAsia="黑体"/>
          <w:bCs/>
          <w:kern w:val="2"/>
          <w:sz w:val="28"/>
          <w:szCs w:val="28"/>
        </w:rPr>
        <w:t>附件</w:t>
      </w:r>
      <w:r>
        <w:rPr>
          <w:rFonts w:hint="eastAsia" w:ascii="黑体" w:hAnsi="宋体" w:eastAsia="黑体"/>
          <w:bCs/>
          <w:kern w:val="2"/>
          <w:sz w:val="28"/>
          <w:szCs w:val="28"/>
          <w:lang w:val="en-US" w:eastAsia="zh-CN"/>
        </w:rPr>
        <w:t>4</w:t>
      </w:r>
      <w:r>
        <w:rPr>
          <w:rFonts w:hint="eastAsia" w:ascii="黑体" w:hAnsi="宋体" w:eastAsia="黑体"/>
          <w:bCs/>
          <w:kern w:val="2"/>
          <w:sz w:val="28"/>
          <w:szCs w:val="28"/>
        </w:rPr>
        <w:t>：投标保证金递交流程</w:t>
      </w:r>
      <w:bookmarkEnd w:id="36"/>
      <w:bookmarkEnd w:id="37"/>
    </w:p>
    <w:p>
      <w:pPr>
        <w:overflowPunct w:val="0"/>
        <w:spacing w:line="288" w:lineRule="auto"/>
        <w:ind w:firstLine="220" w:firstLineChars="100"/>
        <w:rPr>
          <w:rFonts w:hint="eastAsia" w:hAnsi="宋体"/>
        </w:rPr>
      </w:pPr>
    </w:p>
    <w:p>
      <w:pPr>
        <w:spacing w:line="288" w:lineRule="auto"/>
        <w:jc w:val="center"/>
        <w:rPr>
          <w:rFonts w:hint="eastAsia" w:ascii="宋体" w:hAnsi="宋体" w:cs="宋体"/>
          <w:b/>
          <w:sz w:val="21"/>
          <w:szCs w:val="21"/>
        </w:rPr>
      </w:pPr>
      <w:r>
        <w:rPr>
          <w:rFonts w:hint="eastAsia" w:ascii="宋体" w:hAnsi="宋体" w:cs="宋体"/>
          <w:b/>
          <w:sz w:val="21"/>
          <w:szCs w:val="21"/>
        </w:rPr>
        <w:t>投标保证金递交流程</w:t>
      </w:r>
    </w:p>
    <w:p>
      <w:pPr>
        <w:spacing w:line="288" w:lineRule="auto"/>
        <w:jc w:val="center"/>
        <w:rPr>
          <w:rFonts w:hint="eastAsia" w:ascii="宋体" w:hAnsi="宋体" w:cs="宋体"/>
          <w:b/>
          <w:sz w:val="21"/>
          <w:szCs w:val="21"/>
        </w:rPr>
      </w:pPr>
    </w:p>
    <w:p>
      <w:pPr>
        <w:spacing w:line="288" w:lineRule="auto"/>
        <w:rPr>
          <w:rFonts w:hint="eastAsia" w:ascii="宋体" w:hAnsi="宋体" w:cs="宋体"/>
          <w:color w:val="000000"/>
          <w:sz w:val="21"/>
          <w:szCs w:val="21"/>
        </w:rPr>
      </w:pPr>
      <w:r>
        <w:rPr>
          <w:rFonts w:hint="eastAsia" w:ascii="宋体" w:hAnsi="宋体" w:cs="宋体"/>
          <w:sz w:val="21"/>
          <w:szCs w:val="21"/>
        </w:rPr>
        <w:t>1、</w:t>
      </w:r>
      <w:r>
        <w:rPr>
          <w:rFonts w:hint="eastAsia" w:ascii="宋体" w:hAnsi="宋体" w:cs="宋体"/>
          <w:color w:val="000000"/>
          <w:sz w:val="21"/>
          <w:szCs w:val="21"/>
        </w:rPr>
        <w:t>从投标人基本帐户通过企业网银支付或电汇形式向昆仑银行电子招投标保证金账户汇出；</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开 户 行：昆仑银行股份有限公司大庆分行营业部</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账 户 名：昆仑银行电子招投标保证金</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银行账号：26902100171850000010</w:t>
      </w:r>
    </w:p>
    <w:p>
      <w:pPr>
        <w:spacing w:line="288" w:lineRule="auto"/>
        <w:ind w:firstLine="211" w:firstLineChars="100"/>
        <w:rPr>
          <w:rFonts w:hint="eastAsia" w:ascii="宋体" w:hAnsi="宋体" w:cs="宋体"/>
          <w:b/>
          <w:color w:val="990000"/>
          <w:sz w:val="21"/>
          <w:szCs w:val="21"/>
          <w:lang w:val="zh-CN"/>
        </w:rPr>
      </w:pPr>
      <w:r>
        <w:rPr>
          <w:rFonts w:hint="eastAsia" w:ascii="宋体" w:hAnsi="宋体" w:cs="宋体"/>
          <w:b/>
          <w:color w:val="990000"/>
          <w:sz w:val="21"/>
          <w:szCs w:val="21"/>
          <w:lang w:val="zh-CN"/>
        </w:rPr>
        <w:t>昆仑银行客服电话：4006696569</w:t>
      </w:r>
    </w:p>
    <w:p>
      <w:pPr>
        <w:spacing w:line="288" w:lineRule="auto"/>
        <w:rPr>
          <w:rFonts w:hint="eastAsia" w:ascii="宋体" w:hAnsi="宋体" w:cs="宋体"/>
          <w:color w:val="000000"/>
          <w:sz w:val="21"/>
          <w:szCs w:val="21"/>
        </w:rPr>
      </w:pPr>
      <w:r>
        <w:rPr>
          <w:rFonts w:hint="eastAsia" w:ascii="宋体" w:hAnsi="宋体" w:cs="宋体"/>
          <w:color w:val="000000"/>
          <w:sz w:val="21"/>
          <w:szCs w:val="21"/>
        </w:rPr>
        <w:t>2、查询汇款是否到账（到保证金钱包账户）</w:t>
      </w:r>
    </w:p>
    <w:p>
      <w:pPr>
        <w:spacing w:line="288" w:lineRule="auto"/>
        <w:rPr>
          <w:rFonts w:hint="eastAsia" w:ascii="宋体" w:hAnsi="宋体" w:cs="宋体"/>
          <w:color w:val="000000"/>
          <w:sz w:val="21"/>
          <w:szCs w:val="21"/>
        </w:rPr>
      </w:pPr>
      <w:r>
        <w:rPr>
          <w:rFonts w:hint="eastAsia" w:ascii="宋体" w:hAnsi="宋体" w:cs="宋体"/>
          <w:color w:val="000000"/>
          <w:sz w:val="21"/>
          <w:szCs w:val="21"/>
        </w:rPr>
        <w:t>（1）、点击进入已报名项目主控台</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4384" behindDoc="0" locked="0" layoutInCell="1" allowOverlap="1">
                <wp:simplePos x="0" y="0"/>
                <wp:positionH relativeFrom="column">
                  <wp:posOffset>15240</wp:posOffset>
                </wp:positionH>
                <wp:positionV relativeFrom="paragraph">
                  <wp:posOffset>9525</wp:posOffset>
                </wp:positionV>
                <wp:extent cx="497840" cy="354965"/>
                <wp:effectExtent l="12700" t="12700" r="22860" b="13335"/>
                <wp:wrapNone/>
                <wp:docPr id="3" name="椭圆 3"/>
                <wp:cNvGraphicFramePr/>
                <a:graphic xmlns:a="http://schemas.openxmlformats.org/drawingml/2006/main">
                  <a:graphicData uri="http://schemas.microsoft.com/office/word/2010/wordprocessingShape">
                    <wps:wsp>
                      <wps:cNvSpPr/>
                      <wps:spPr>
                        <a:xfrm>
                          <a:off x="0" y="0"/>
                          <a:ext cx="49784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1.2pt;margin-top:0.75pt;height:27.95pt;width:39.2pt;z-index:251664384;v-text-anchor:middle;mso-width-relative:page;mso-height-relative:page;" filled="f" stroked="t" coordsize="21600,21600" o:gfxdata="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PccVyTTAAAABQEAAA8A&#10;AAAAAAAAAQAgAAAAIgAAAGRycy9kb3ducmV2LnhtbFBLAQIUABQAAAAIAIdO4kCkiz9n4wEAAK0D&#10;AAAOAAAAAAAAAAEAIAAAACIBAABkcnMvZTJvRG9jLnhtbFBLBQYAAAAABgAGAFkBAAB3BQAAAAA=&#10;">
                <v:fill on="f" focussize="0,0"/>
                <v:stroke weight="2pt" color="#FF0000" joinstyle="round"/>
                <v:imagedata o:title=""/>
                <o:lock v:ext="edit" aspectratio="f"/>
              </v:shape>
            </w:pict>
          </mc:Fallback>
        </mc:AlternateContent>
      </w:r>
      <w:r>
        <w:rPr>
          <w:rFonts w:hint="eastAsia" w:ascii="宋体" w:hAnsi="宋体" w:cs="宋体"/>
          <w:sz w:val="21"/>
          <w:szCs w:val="21"/>
        </w:rPr>
        <w:drawing>
          <wp:inline distT="0" distB="0" distL="114300" distR="114300">
            <wp:extent cx="4297680" cy="304800"/>
            <wp:effectExtent l="0" t="0" r="7620" b="0"/>
            <wp:docPr id="7" name="图片 19" descr="说明: C:\Users\abc\AppData\Roaming\Tencent\Users\42054949\QQ\WinTemp\RichOle\HPR}P)YYPQH$3%{KEZ[)3X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9" descr="说明: C:\Users\abc\AppData\Roaming\Tencent\Users\42054949\QQ\WinTemp\RichOle\HPR}P)YYPQH$3%{KEZ[)3X8.png"/>
                    <pic:cNvPicPr>
                      <a:picLocks noChangeAspect="1"/>
                    </pic:cNvPicPr>
                  </pic:nvPicPr>
                  <pic:blipFill>
                    <a:blip r:embed="rId4"/>
                    <a:srcRect r="27866"/>
                    <a:stretch>
                      <a:fillRect/>
                    </a:stretch>
                  </pic:blipFill>
                  <pic:spPr>
                    <a:xfrm>
                      <a:off x="0" y="0"/>
                      <a:ext cx="4297680" cy="304800"/>
                    </a:xfrm>
                    <a:prstGeom prst="rect">
                      <a:avLst/>
                    </a:prstGeom>
                    <a:noFill/>
                    <a:ln>
                      <a:noFill/>
                    </a:ln>
                  </pic:spPr>
                </pic:pic>
              </a:graphicData>
            </a:graphic>
          </wp:inline>
        </w:drawing>
      </w:r>
    </w:p>
    <w:p>
      <w:pPr>
        <w:spacing w:line="288" w:lineRule="auto"/>
        <w:rPr>
          <w:rFonts w:hint="eastAsia" w:ascii="宋体" w:hAnsi="宋体" w:cs="宋体"/>
          <w:sz w:val="21"/>
          <w:szCs w:val="21"/>
        </w:rPr>
      </w:pPr>
      <w:r>
        <w:rPr>
          <w:rFonts w:hint="eastAsia" w:ascii="宋体" w:hAnsi="宋体" w:cs="宋体"/>
          <w:sz w:val="21"/>
          <w:szCs w:val="21"/>
        </w:rPr>
        <w:t>（2）、点击进入递交投标保证金</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5408" behindDoc="0" locked="0" layoutInCell="1" allowOverlap="1">
                <wp:simplePos x="0" y="0"/>
                <wp:positionH relativeFrom="column">
                  <wp:posOffset>4582160</wp:posOffset>
                </wp:positionH>
                <wp:positionV relativeFrom="paragraph">
                  <wp:posOffset>610235</wp:posOffset>
                </wp:positionV>
                <wp:extent cx="695960" cy="354965"/>
                <wp:effectExtent l="12700" t="12700" r="15240" b="13335"/>
                <wp:wrapNone/>
                <wp:docPr id="10" name="椭圆 10"/>
                <wp:cNvGraphicFramePr/>
                <a:graphic xmlns:a="http://schemas.openxmlformats.org/drawingml/2006/main">
                  <a:graphicData uri="http://schemas.microsoft.com/office/word/2010/wordprocessingShape">
                    <wps:wsp>
                      <wps:cNvSpPr/>
                      <wps:spPr>
                        <a:xfrm>
                          <a:off x="0" y="0"/>
                          <a:ext cx="69596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360.8pt;margin-top:48.05pt;height:27.95pt;width:54.8pt;z-index:251665408;v-text-anchor:middle;mso-width-relative:page;mso-height-relative:page;" filled="f" stroked="t" coordsize="21600,21600" o:gfxdata="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1Gnzc1wAAAAoB&#10;AAAPAAAAAAAAAAEAIAAAACIAAABkcnMvZG93bnJldi54bWxQSwECFAAUAAAACACHTuJAEK6YA+MB&#10;AACvAwAADgAAAAAAAAABACAAAAAmAQAAZHJzL2Uyb0RvYy54bWxQSwUGAAAAAAYABgBZAQAAewUA&#10;AAAA&#10;">
                <v:fill on="f" focussize="0,0"/>
                <v:stroke weight="2pt" color="#FF0000" joinstyle="round"/>
                <v:imagedata o:title=""/>
                <o:lock v:ext="edit" aspectratio="f"/>
              </v:shape>
            </w:pict>
          </mc:Fallback>
        </mc:AlternateContent>
      </w:r>
      <w:r>
        <w:rPr>
          <w:rFonts w:hint="eastAsia" w:ascii="宋体" w:hAnsi="宋体" w:cs="宋体"/>
          <w:sz w:val="21"/>
          <w:szCs w:val="21"/>
        </w:rPr>
        <w:drawing>
          <wp:inline distT="0" distB="0" distL="114300" distR="114300">
            <wp:extent cx="5325745" cy="1059815"/>
            <wp:effectExtent l="0" t="0" r="8255" b="6985"/>
            <wp:docPr id="4" name="图片 20" descr="说明: C:\Users\abc\AppData\Roaming\Tencent\Users\42054949\QQ\WinTemp\RichOle\U3QC4~N`3O}B54}T%5NKX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0" descr="说明: C:\Users\abc\AppData\Roaming\Tencent\Users\42054949\QQ\WinTemp\RichOle\U3QC4~N`3O}B54}T%5NKXY2.png"/>
                    <pic:cNvPicPr>
                      <a:picLocks noChangeAspect="1"/>
                    </pic:cNvPicPr>
                  </pic:nvPicPr>
                  <pic:blipFill>
                    <a:blip r:embed="rId5"/>
                    <a:stretch>
                      <a:fillRect/>
                    </a:stretch>
                  </pic:blipFill>
                  <pic:spPr>
                    <a:xfrm>
                      <a:off x="0" y="0"/>
                      <a:ext cx="5325745" cy="1059815"/>
                    </a:xfrm>
                    <a:prstGeom prst="rect">
                      <a:avLst/>
                    </a:prstGeom>
                    <a:noFill/>
                    <a:ln>
                      <a:noFill/>
                    </a:ln>
                  </pic:spPr>
                </pic:pic>
              </a:graphicData>
            </a:graphic>
          </wp:inline>
        </w:drawing>
      </w:r>
    </w:p>
    <w:p>
      <w:pPr>
        <w:spacing w:line="288" w:lineRule="auto"/>
        <w:rPr>
          <w:rFonts w:hint="eastAsia" w:ascii="宋体" w:hAnsi="宋体" w:cs="宋体"/>
          <w:sz w:val="21"/>
          <w:szCs w:val="21"/>
        </w:rPr>
      </w:pPr>
      <w:r>
        <w:rPr>
          <w:rFonts w:hint="eastAsia" w:ascii="宋体" w:hAnsi="宋体" w:cs="宋体"/>
          <w:sz w:val="21"/>
          <w:szCs w:val="21"/>
        </w:rPr>
        <w:t>（3）、查看到账金额（</w:t>
      </w:r>
      <w:r>
        <w:rPr>
          <w:rFonts w:hint="eastAsia" w:ascii="宋体" w:hAnsi="宋体" w:cs="宋体"/>
          <w:color w:val="000000"/>
          <w:sz w:val="21"/>
          <w:szCs w:val="21"/>
        </w:rPr>
        <w:t>保证金钱包账户余额</w:t>
      </w:r>
      <w:r>
        <w:rPr>
          <w:rFonts w:hint="eastAsia" w:ascii="宋体" w:hAnsi="宋体" w:cs="宋体"/>
          <w:sz w:val="21"/>
          <w:szCs w:val="21"/>
        </w:rPr>
        <w:t>）</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6432" behindDoc="0" locked="0" layoutInCell="1" allowOverlap="1">
                <wp:simplePos x="0" y="0"/>
                <wp:positionH relativeFrom="column">
                  <wp:posOffset>167005</wp:posOffset>
                </wp:positionH>
                <wp:positionV relativeFrom="paragraph">
                  <wp:posOffset>240030</wp:posOffset>
                </wp:positionV>
                <wp:extent cx="1057910" cy="354965"/>
                <wp:effectExtent l="12700" t="12700" r="15240" b="13335"/>
                <wp:wrapNone/>
                <wp:docPr id="2" name="椭圆 2"/>
                <wp:cNvGraphicFramePr/>
                <a:graphic xmlns:a="http://schemas.openxmlformats.org/drawingml/2006/main">
                  <a:graphicData uri="http://schemas.microsoft.com/office/word/2010/wordprocessingShape">
                    <wps:wsp>
                      <wps:cNvSpPr/>
                      <wps:spPr>
                        <a:xfrm>
                          <a:off x="0" y="0"/>
                          <a:ext cx="105791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13.15pt;margin-top:18.9pt;height:27.95pt;width:83.3pt;z-index:251666432;v-text-anchor:middle;mso-width-relative:page;mso-height-relative:page;" filled="f" stroked="t" coordsize="21600,21600" o:gfxdata="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iN+zS1wAAAAgB&#10;AAAPAAAAAAAAAAEAIAAAACIAAABkcnMvZG93bnJldi54bWxQSwECFAAUAAAACACHTuJAMa2+8+MB&#10;AACuAwAADgAAAAAAAAABACAAAAAmAQAAZHJzL2Uyb0RvYy54bWxQSwUGAAAAAAYABgBZAQAAewUA&#10;AAAA&#10;">
                <v:fill on="f" focussize="0,0"/>
                <v:stroke weight="2pt" color="#FF0000" joinstyle="round"/>
                <v:imagedata o:title=""/>
                <o:lock v:ext="edit" aspectratio="f"/>
              </v:shape>
            </w:pict>
          </mc:Fallback>
        </mc:AlternateContent>
      </w:r>
      <w:r>
        <w:rPr>
          <w:rFonts w:hint="eastAsia" w:ascii="宋体" w:hAnsi="宋体" w:cs="宋体"/>
          <w:sz w:val="21"/>
          <w:szCs w:val="21"/>
        </w:rPr>
        <w:drawing>
          <wp:inline distT="0" distB="0" distL="114300" distR="114300">
            <wp:extent cx="5265420" cy="1074420"/>
            <wp:effectExtent l="0" t="0" r="11430" b="11430"/>
            <wp:docPr id="8" name="图片 21" descr="说明: C:\Users\abc\AppData\Roaming\Tencent\Users\42054949\QQ\WinTemp\RichOle\PI$9P51%_3)$`]FJTC])1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说明: C:\Users\abc\AppData\Roaming\Tencent\Users\42054949\QQ\WinTemp\RichOle\PI$9P51%_3)$`]FJTC])1M3.png"/>
                    <pic:cNvPicPr>
                      <a:picLocks noChangeAspect="1"/>
                    </pic:cNvPicPr>
                  </pic:nvPicPr>
                  <pic:blipFill>
                    <a:blip r:embed="rId6"/>
                    <a:srcRect t="-2" r="43517" b="41075"/>
                    <a:stretch>
                      <a:fillRect/>
                    </a:stretch>
                  </pic:blipFill>
                  <pic:spPr>
                    <a:xfrm>
                      <a:off x="0" y="0"/>
                      <a:ext cx="5265420" cy="1074420"/>
                    </a:xfrm>
                    <a:prstGeom prst="rect">
                      <a:avLst/>
                    </a:prstGeom>
                    <a:noFill/>
                    <a:ln>
                      <a:noFill/>
                    </a:ln>
                  </pic:spPr>
                </pic:pic>
              </a:graphicData>
            </a:graphic>
          </wp:inline>
        </w:drawing>
      </w:r>
    </w:p>
    <w:p>
      <w:pPr>
        <w:spacing w:line="288" w:lineRule="auto"/>
        <w:rPr>
          <w:rFonts w:hint="eastAsia" w:ascii="宋体" w:hAnsi="宋体" w:cs="宋体"/>
          <w:color w:val="000000"/>
          <w:sz w:val="21"/>
          <w:szCs w:val="21"/>
        </w:rPr>
      </w:pPr>
      <w:r>
        <w:rPr>
          <w:rFonts w:hint="eastAsia" w:ascii="宋体" w:hAnsi="宋体" w:cs="宋体"/>
          <w:color w:val="000000"/>
          <w:sz w:val="21"/>
          <w:szCs w:val="21"/>
        </w:rPr>
        <w:t>3、提交投标保证金</w:t>
      </w:r>
    </w:p>
    <w:p>
      <w:pPr>
        <w:spacing w:line="288" w:lineRule="auto"/>
        <w:rPr>
          <w:rFonts w:hint="eastAsia" w:ascii="宋体" w:hAnsi="宋体" w:cs="宋体"/>
          <w:color w:val="000000"/>
          <w:sz w:val="21"/>
          <w:szCs w:val="21"/>
        </w:rPr>
      </w:pPr>
      <w:r>
        <w:rPr>
          <w:rFonts w:hint="eastAsia" w:ascii="宋体" w:hAnsi="宋体" w:cs="宋体"/>
          <w:color w:val="000000"/>
          <w:sz w:val="21"/>
          <w:szCs w:val="21"/>
        </w:rPr>
        <w:t>（1）选择项目</w:t>
      </w:r>
    </w:p>
    <w:p>
      <w:pPr>
        <w:spacing w:line="288" w:lineRule="auto"/>
        <w:rPr>
          <w:rFonts w:hint="eastAsia" w:ascii="宋体" w:hAnsi="宋体" w:cs="宋体"/>
          <w:color w:val="000000"/>
          <w:sz w:val="21"/>
          <w:szCs w:val="21"/>
        </w:rPr>
      </w:pPr>
      <w:r>
        <w:rPr>
          <w:rFonts w:hint="eastAsia" w:ascii="宋体" w:hAnsi="宋体" w:cs="宋体"/>
          <w:color w:val="000000"/>
          <w:sz w:val="21"/>
          <w:szCs w:val="21"/>
        </w:rPr>
        <w:t>（2）、支付</w:t>
      </w:r>
    </w:p>
    <w:p>
      <w:pPr>
        <w:spacing w:line="288" w:lineRule="auto"/>
        <w:rPr>
          <w:rFonts w:hint="eastAsia" w:ascii="宋体" w:hAnsi="宋体" w:cs="宋体"/>
          <w:color w:val="000000"/>
          <w:sz w:val="21"/>
          <w:szCs w:val="21"/>
        </w:rPr>
      </w:pPr>
      <w:r>
        <w:rPr>
          <w:rFonts w:hint="eastAsia" w:ascii="宋体" w:hAnsi="宋体" w:cs="宋体"/>
          <w:color w:val="000000"/>
          <w:sz w:val="21"/>
          <w:szCs w:val="21"/>
        </w:rPr>
        <w:t>（3）、刷新，查询购买状态</w:t>
      </w:r>
    </w:p>
    <w:p>
      <w:r>
        <w:rPr>
          <w:rFonts w:hint="eastAsia" w:ascii="宋体" w:hAnsi="宋体" w:cs="宋体"/>
          <w:sz w:val="21"/>
          <w:szCs w:val="21"/>
        </w:rPr>
        <mc:AlternateContent>
          <mc:Choice Requires="wps">
            <w:drawing>
              <wp:anchor distT="0" distB="0" distL="114300" distR="114300" simplePos="0" relativeHeight="251669504" behindDoc="0" locked="0" layoutInCell="1" allowOverlap="1">
                <wp:simplePos x="0" y="0"/>
                <wp:positionH relativeFrom="column">
                  <wp:posOffset>4860925</wp:posOffset>
                </wp:positionH>
                <wp:positionV relativeFrom="paragraph">
                  <wp:posOffset>363855</wp:posOffset>
                </wp:positionV>
                <wp:extent cx="347345" cy="354330"/>
                <wp:effectExtent l="12700" t="12700" r="20955" b="13970"/>
                <wp:wrapNone/>
                <wp:docPr id="11" name="椭圆 11"/>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3</w:t>
                            </w:r>
                          </w:p>
                        </w:txbxContent>
                      </wps:txbx>
                      <wps:bodyPr lIns="0" tIns="0" rIns="0" bIns="0" anchor="ctr" upright="1"/>
                    </wps:wsp>
                  </a:graphicData>
                </a:graphic>
              </wp:anchor>
            </w:drawing>
          </mc:Choice>
          <mc:Fallback>
            <w:pict>
              <v:shape id="_x0000_s1026" o:spid="_x0000_s1026" o:spt="3" type="#_x0000_t3" style="position:absolute;left:0pt;margin-left:382.75pt;margin-top:28.65pt;height:27.9pt;width:27.35pt;z-index:251669504;v-text-anchor:middle;mso-width-relative:page;mso-height-relative:page;" filled="f" stroked="t" coordsize="21600,21600" o:gfxdata="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8HyNX2gAAAAoBAAAPAAAAAAAAAAEAIAAAACIAAABkcnMvZG93bnJldi54&#10;bWxQSwECFAAUAAAACACHTuJALdbFgfgBAADeAwAADgAAAAAAAAABACAAAAApAQAAZHJzL2Uyb0Rv&#10;Yy54bWxQSwUGAAAAAAYABgBZAQAAkwUAAAAA&#10;">
                <v:fill on="f" focussize="0,0"/>
                <v:stroke weight="2pt" color="#FF0000" joinstyle="round"/>
                <v:imagedata o:title=""/>
                <o:lock v:ext="edit" aspectratio="f"/>
                <v:textbox inset="0mm,0mm,0mm,0mm">
                  <w:txbxContent>
                    <w:p>
                      <w:pPr>
                        <w:jc w:val="center"/>
                        <w:rPr>
                          <w:color w:val="FF0000"/>
                        </w:rPr>
                      </w:pPr>
                      <w:r>
                        <w:rPr>
                          <w:rFonts w:hint="eastAsia"/>
                          <w:color w:val="FF0000"/>
                        </w:rPr>
                        <w:t>3</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70528" behindDoc="0" locked="0" layoutInCell="1" allowOverlap="1">
                <wp:simplePos x="0" y="0"/>
                <wp:positionH relativeFrom="column">
                  <wp:posOffset>2874645</wp:posOffset>
                </wp:positionH>
                <wp:positionV relativeFrom="paragraph">
                  <wp:posOffset>755015</wp:posOffset>
                </wp:positionV>
                <wp:extent cx="347345" cy="354330"/>
                <wp:effectExtent l="12700" t="12700" r="20955" b="13970"/>
                <wp:wrapNone/>
                <wp:docPr id="5" name="椭圆 5"/>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3</w:t>
                            </w:r>
                          </w:p>
                        </w:txbxContent>
                      </wps:txbx>
                      <wps:bodyPr lIns="0" tIns="0" rIns="0" bIns="0" anchor="ctr" upright="1"/>
                    </wps:wsp>
                  </a:graphicData>
                </a:graphic>
              </wp:anchor>
            </w:drawing>
          </mc:Choice>
          <mc:Fallback>
            <w:pict>
              <v:shape id="_x0000_s1026" o:spid="_x0000_s1026" o:spt="3" type="#_x0000_t3" style="position:absolute;left:0pt;margin-left:226.35pt;margin-top:59.45pt;height:27.9pt;width:27.35pt;z-index:251670528;v-text-anchor:middle;mso-width-relative:page;mso-height-relative:page;" filled="f" stroked="t" coordsize="21600,21600" o:gfxdata="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1WvxxNkAAAALAQAADwAAAAAAAAABACAAAAAiAAAAZHJzL2Rvd25yZXYueG1s&#10;UEsBAhQAFAAAAAgAh07iQJuetKL3AQAA3AMAAA4AAAAAAAAAAQAgAAAAKAEAAGRycy9lMm9Eb2Mu&#10;eG1sUEsFBgAAAAAGAAYAWQEAAJEFAAAAAA==&#10;">
                <v:fill on="f" focussize="0,0"/>
                <v:stroke weight="2pt" color="#FF0000" joinstyle="round"/>
                <v:imagedata o:title=""/>
                <o:lock v:ext="edit" aspectratio="f"/>
                <v:textbox inset="0mm,0mm,0mm,0mm">
                  <w:txbxContent>
                    <w:p>
                      <w:pPr>
                        <w:jc w:val="center"/>
                        <w:rPr>
                          <w:color w:val="FF0000"/>
                        </w:rPr>
                      </w:pPr>
                      <w:r>
                        <w:rPr>
                          <w:rFonts w:hint="eastAsia"/>
                          <w:color w:val="FF0000"/>
                        </w:rPr>
                        <w:t>3</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67456" behindDoc="0" locked="0" layoutInCell="1" allowOverlap="1">
                <wp:simplePos x="0" y="0"/>
                <wp:positionH relativeFrom="column">
                  <wp:posOffset>-52070</wp:posOffset>
                </wp:positionH>
                <wp:positionV relativeFrom="paragraph">
                  <wp:posOffset>378460</wp:posOffset>
                </wp:positionV>
                <wp:extent cx="347345" cy="354330"/>
                <wp:effectExtent l="12700" t="12700" r="20955" b="13970"/>
                <wp:wrapNone/>
                <wp:docPr id="9" name="椭圆 9"/>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1</w:t>
                            </w:r>
                          </w:p>
                        </w:txbxContent>
                      </wps:txbx>
                      <wps:bodyPr lIns="0" tIns="0" rIns="0" bIns="0" anchor="ctr" upright="1"/>
                    </wps:wsp>
                  </a:graphicData>
                </a:graphic>
              </wp:anchor>
            </w:drawing>
          </mc:Choice>
          <mc:Fallback>
            <w:pict>
              <v:shape id="_x0000_s1026" o:spid="_x0000_s1026" o:spt="3" type="#_x0000_t3" style="position:absolute;left:0pt;margin-left:-4.1pt;margin-top:29.8pt;height:27.9pt;width:27.35pt;z-index:251667456;v-text-anchor:middle;mso-width-relative:page;mso-height-relative:page;" filled="f" stroked="t" coordsize="21600,21600" o:gfxdata="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DRPMvYAAAACAEAAA8AAAAAAAAAAQAgAAAAIgAAAGRycy9kb3ducmV2Lnht&#10;bFBLAQIUABQAAAAIAIdO4kAxgppN+QEAANwDAAAOAAAAAAAAAAEAIAAAACcBAABkcnMvZTJvRG9j&#10;LnhtbFBLBQYAAAAABgAGAFkBAACSBQAAAAA=&#10;">
                <v:fill on="f" focussize="0,0"/>
                <v:stroke weight="2pt" color="#FF0000" joinstyle="round"/>
                <v:imagedata o:title=""/>
                <o:lock v:ext="edit" aspectratio="f"/>
                <v:textbox inset="0mm,0mm,0mm,0mm">
                  <w:txbxContent>
                    <w:p>
                      <w:pPr>
                        <w:jc w:val="center"/>
                        <w:rPr>
                          <w:color w:val="FF0000"/>
                        </w:rPr>
                      </w:pPr>
                      <w:r>
                        <w:rPr>
                          <w:rFonts w:hint="eastAsia"/>
                          <w:color w:val="FF0000"/>
                        </w:rPr>
                        <w:t>1</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68480" behindDoc="0" locked="0" layoutInCell="1" allowOverlap="1">
                <wp:simplePos x="0" y="0"/>
                <wp:positionH relativeFrom="column">
                  <wp:posOffset>2527300</wp:posOffset>
                </wp:positionH>
                <wp:positionV relativeFrom="paragraph">
                  <wp:posOffset>755650</wp:posOffset>
                </wp:positionV>
                <wp:extent cx="347345" cy="354330"/>
                <wp:effectExtent l="12700" t="12700" r="20955" b="13970"/>
                <wp:wrapNone/>
                <wp:docPr id="6" name="椭圆 6"/>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2</w:t>
                            </w:r>
                          </w:p>
                        </w:txbxContent>
                      </wps:txbx>
                      <wps:bodyPr lIns="0" tIns="0" rIns="0" bIns="0" anchor="ctr" upright="1"/>
                    </wps:wsp>
                  </a:graphicData>
                </a:graphic>
              </wp:anchor>
            </w:drawing>
          </mc:Choice>
          <mc:Fallback>
            <w:pict>
              <v:shape id="_x0000_s1026" o:spid="_x0000_s1026" o:spt="3" type="#_x0000_t3" style="position:absolute;left:0pt;margin-left:199pt;margin-top:59.5pt;height:27.9pt;width:27.35pt;z-index:251668480;v-text-anchor:middle;mso-width-relative:page;mso-height-relative:page;" filled="f" stroked="t" coordsize="21600,21600" o:gfxdata="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BFoXy2gAAAAsBAAAPAAAAAAAAAAEAIAAAACIAAABkcnMvZG93bnJldi54&#10;bWxQSwECFAAUAAAACACHTuJAkZrHdPgBAADcAwAADgAAAAAAAAABACAAAAApAQAAZHJzL2Uyb0Rv&#10;Yy54bWxQSwUGAAAAAAYABgBZAQAAkwUAAAAA&#10;">
                <v:fill on="f" focussize="0,0"/>
                <v:stroke weight="2pt" color="#FF0000" joinstyle="round"/>
                <v:imagedata o:title=""/>
                <o:lock v:ext="edit" aspectratio="f"/>
                <v:textbox inset="0mm,0mm,0mm,0mm">
                  <w:txbxContent>
                    <w:p>
                      <w:pPr>
                        <w:jc w:val="center"/>
                        <w:rPr>
                          <w:color w:val="FF0000"/>
                        </w:rPr>
                      </w:pPr>
                      <w:r>
                        <w:rPr>
                          <w:rFonts w:hint="eastAsia"/>
                          <w:color w:val="FF0000"/>
                        </w:rPr>
                        <w:t>2</w:t>
                      </w:r>
                    </w:p>
                  </w:txbxContent>
                </v:textbox>
              </v:shape>
            </w:pict>
          </mc:Fallback>
        </mc:AlternateContent>
      </w:r>
      <w:r>
        <w:rPr>
          <w:rFonts w:hint="eastAsia" w:ascii="宋体" w:hAnsi="宋体" w:cs="宋体"/>
          <w:sz w:val="21"/>
          <w:szCs w:val="21"/>
        </w:rPr>
        <w:drawing>
          <wp:inline distT="0" distB="0" distL="114300" distR="114300">
            <wp:extent cx="5280660" cy="1028700"/>
            <wp:effectExtent l="0" t="0" r="15240" b="0"/>
            <wp:docPr id="1" name="图片 22" descr="说明: C:\Users\abc\AppData\Roaming\Tencent\Users\42054949\QQ\WinTemp\RichOle\PI$9P51%_3)$`]FJTC])1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2" descr="说明: C:\Users\abc\AppData\Roaming\Tencent\Users\42054949\QQ\WinTemp\RichOle\PI$9P51%_3)$`]FJTC])1M3.png"/>
                    <pic:cNvPicPr>
                      <a:picLocks noChangeAspect="1"/>
                    </pic:cNvPicPr>
                  </pic:nvPicPr>
                  <pic:blipFill>
                    <a:blip r:embed="rId6"/>
                    <a:srcRect r="-473"/>
                    <a:stretch>
                      <a:fillRect/>
                    </a:stretch>
                  </pic:blipFill>
                  <pic:spPr>
                    <a:xfrm>
                      <a:off x="0" y="0"/>
                      <a:ext cx="5280660" cy="102870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Cambria Math">
    <w:panose1 w:val="02040503050406030204"/>
    <w:charset w:val="00"/>
    <w:family w:val="auto"/>
    <w:pitch w:val="default"/>
    <w:sig w:usb0="E00002FF" w:usb1="420024FF" w:usb2="00000000" w:usb3="00000000" w:csb0="2000019F" w:csb1="00000000"/>
  </w:font>
  <w:font w:name="MS Gothic">
    <w:panose1 w:val="020B0609070205080204"/>
    <w:charset w:val="80"/>
    <w:family w:val="auto"/>
    <w:pitch w:val="default"/>
    <w:sig w:usb0="E00002FF" w:usb1="6AC7FDFB" w:usb2="00000012" w:usb3="00000000" w:csb0="4002009F" w:csb1="DFD70000"/>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D92B9E"/>
    <w:rsid w:val="0A8E5D1E"/>
    <w:rsid w:val="0DD92B9E"/>
    <w:rsid w:val="126C11E6"/>
    <w:rsid w:val="198D5B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2"/>
      <w:szCs w:val="22"/>
      <w:lang w:val="en-US" w:eastAsia="zh-CN" w:bidi="ar-SA"/>
    </w:rPr>
  </w:style>
  <w:style w:type="paragraph" w:styleId="2">
    <w:name w:val="heading 3"/>
    <w:basedOn w:val="1"/>
    <w:next w:val="1"/>
    <w:qFormat/>
    <w:uiPriority w:val="0"/>
    <w:pPr>
      <w:keepNext/>
      <w:widowControl w:val="0"/>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20" w:lineRule="atLeast"/>
      <w:outlineLvl w:val="2"/>
    </w:pPr>
    <w:rPr>
      <w:rFonts w:ascii="MS Sans Serif" w:hAnsi="MS Sans Serif"/>
      <w:sz w:val="24"/>
      <w:szCs w:val="20"/>
    </w:rPr>
  </w:style>
  <w:style w:type="character" w:default="1" w:styleId="4">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100" w:beforeLines="0" w:beforeAutospacing="1" w:after="100" w:afterLines="0" w:afterAutospacing="1"/>
    </w:pPr>
    <w:rPr>
      <w:rFonts w:ascii="宋体" w:hAnsi="宋体" w:cs="宋体"/>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2020-08-04T07:18:00Z</dcterms:created>
  <dc:creator>zhengbin-jl</dc:creator>
  <cp:lastModifiedBy>zhengbin-jl</cp:lastModifiedBy>
  <dcterms:modified xsi:type="dcterms:W3CDTF">2020-08-05T01:35:41Z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