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Lines="0" w:afterLines="0"/>
      </w:pPr>
      <w:bookmarkStart w:id="0" w:name="_Toc467697686"/>
      <w:bookmarkStart w:id="1" w:name="_Toc4569"/>
      <w:r>
        <w:rPr>
          <w:rFonts w:hint="eastAsia"/>
        </w:rPr>
        <w:t>第一章 招标公告</w:t>
      </w:r>
      <w:bookmarkEnd w:id="0"/>
      <w:bookmarkEnd w:id="1"/>
    </w:p>
    <w:p>
      <w:pPr>
        <w:pStyle w:val="7"/>
        <w:ind w:firstLine="0" w:firstLineChars="0"/>
        <w:jc w:val="center"/>
        <w:rPr>
          <w:b/>
          <w:sz w:val="28"/>
          <w:lang w:val="zh-CN"/>
        </w:rPr>
      </w:pPr>
      <w:r>
        <w:rPr>
          <w:rFonts w:hint="eastAsia"/>
          <w:b/>
          <w:sz w:val="24"/>
          <w:lang w:val="zh-CN"/>
        </w:rPr>
        <w:t>125MPa试压泵物资采购招标公告</w:t>
      </w:r>
    </w:p>
    <w:p>
      <w:pPr>
        <w:pStyle w:val="7"/>
        <w:ind w:firstLine="0" w:firstLineChars="0"/>
        <w:jc w:val="right"/>
        <w:rPr>
          <w:b/>
        </w:rPr>
      </w:pPr>
      <w:r>
        <w:rPr>
          <w:rFonts w:hint="eastAsia"/>
          <w:b/>
          <w:lang w:val="zh-CN"/>
        </w:rPr>
        <w:t>招标编号：试修物采招字2020-4-08号</w:t>
      </w:r>
    </w:p>
    <w:p>
      <w:pPr>
        <w:spacing w:line="360" w:lineRule="auto"/>
        <w:ind w:firstLine="422" w:firstLineChars="200"/>
        <w:rPr>
          <w:rFonts w:hAnsi="宋体" w:cs="宋体"/>
          <w:b/>
          <w:szCs w:val="21"/>
          <w:lang w:val="zh-CN"/>
        </w:rPr>
      </w:pPr>
      <w:r>
        <w:rPr>
          <w:rFonts w:hint="eastAsia" w:hAnsi="宋体" w:cs="宋体"/>
          <w:b/>
          <w:szCs w:val="21"/>
          <w:lang w:val="zh-CN"/>
        </w:rPr>
        <w:t>一、招标条件</w:t>
      </w:r>
    </w:p>
    <w:p>
      <w:pPr>
        <w:spacing w:line="360" w:lineRule="auto"/>
        <w:ind w:firstLine="420" w:firstLineChars="200"/>
        <w:rPr>
          <w:rFonts w:hAnsi="宋体" w:cs="宋体"/>
          <w:bCs/>
          <w:szCs w:val="21"/>
          <w:lang w:val="zh-CN"/>
        </w:rPr>
      </w:pPr>
      <w:r>
        <w:rPr>
          <w:rFonts w:hint="eastAsia" w:hAnsi="宋体" w:cs="宋体"/>
          <w:szCs w:val="21"/>
        </w:rPr>
        <w:t>本物资采购项目已按要求履行了相关报批及备案等手续，资金已落实，</w:t>
      </w:r>
      <w:r>
        <w:rPr>
          <w:rFonts w:hint="eastAsia" w:hAnsi="宋体" w:cs="宋体"/>
          <w:bCs/>
          <w:szCs w:val="21"/>
          <w:lang w:val="zh-CN"/>
        </w:rPr>
        <w:t>具备招标条件，</w:t>
      </w:r>
      <w:r>
        <w:rPr>
          <w:rFonts w:hint="eastAsia" w:hAnsi="宋体" w:cs="宋体"/>
          <w:szCs w:val="21"/>
          <w:lang w:val="zh-CN"/>
        </w:rPr>
        <w:t>受中国石油集团川庆钻探工程有限公司试修公司</w:t>
      </w:r>
      <w:r>
        <w:rPr>
          <w:rFonts w:hint="eastAsia" w:hAnsi="宋体" w:cs="宋体"/>
          <w:szCs w:val="21"/>
        </w:rPr>
        <w:t>委托</w:t>
      </w:r>
      <w:r>
        <w:rPr>
          <w:rFonts w:hint="eastAsia" w:hAnsi="宋体" w:cs="宋体"/>
          <w:szCs w:val="21"/>
          <w:lang w:val="zh-CN"/>
        </w:rPr>
        <w:t>，四川恒鑫工程管理咨询有限公司</w:t>
      </w:r>
      <w:r>
        <w:rPr>
          <w:rFonts w:hint="eastAsia" w:hAnsi="宋体" w:cs="宋体"/>
          <w:szCs w:val="21"/>
        </w:rPr>
        <w:t>就以下所列项目进行公开招标。</w:t>
      </w:r>
    </w:p>
    <w:p>
      <w:pPr>
        <w:spacing w:line="360" w:lineRule="auto"/>
        <w:ind w:firstLine="422" w:firstLineChars="200"/>
        <w:rPr>
          <w:rFonts w:hAnsi="宋体" w:cs="宋体"/>
          <w:b/>
          <w:szCs w:val="21"/>
          <w:lang w:val="zh-CN"/>
        </w:rPr>
      </w:pPr>
      <w:r>
        <w:rPr>
          <w:rFonts w:hint="eastAsia" w:hAnsi="宋体" w:cs="宋体"/>
          <w:b/>
          <w:szCs w:val="21"/>
          <w:lang w:val="zh-CN"/>
        </w:rPr>
        <w:t>二、 物资采购概况与招标范围</w:t>
      </w:r>
    </w:p>
    <w:p>
      <w:pPr>
        <w:spacing w:line="360" w:lineRule="auto"/>
        <w:ind w:firstLine="420" w:firstLineChars="200"/>
        <w:rPr>
          <w:rFonts w:hAnsi="宋体" w:cs="宋体"/>
          <w:szCs w:val="21"/>
        </w:rPr>
      </w:pPr>
      <w:r>
        <w:rPr>
          <w:rFonts w:hint="eastAsia" w:hAnsi="宋体" w:cs="宋体"/>
          <w:szCs w:val="21"/>
        </w:rPr>
        <w:t>2.1 概况及招标范围</w:t>
      </w:r>
    </w:p>
    <w:p>
      <w:pPr>
        <w:spacing w:line="360" w:lineRule="auto"/>
        <w:ind w:firstLine="420" w:firstLineChars="200"/>
        <w:rPr>
          <w:rFonts w:hAnsi="宋体" w:cs="宋体"/>
          <w:szCs w:val="21"/>
        </w:rPr>
      </w:pPr>
      <w:r>
        <w:rPr>
          <w:rFonts w:hint="eastAsia" w:ascii="Times New Roman" w:hAnsi="宋体"/>
        </w:rPr>
        <w:t>招标项目名称</w:t>
      </w:r>
      <w:r>
        <w:rPr>
          <w:rFonts w:hint="eastAsia" w:hAnsi="宋体" w:cs="宋体"/>
          <w:szCs w:val="21"/>
        </w:rPr>
        <w:t>:125MPa试压泵物资采购；</w:t>
      </w:r>
    </w:p>
    <w:p>
      <w:pPr>
        <w:spacing w:line="360" w:lineRule="auto"/>
        <w:ind w:firstLine="420" w:firstLineChars="200"/>
        <w:rPr>
          <w:rFonts w:hAnsi="宋体" w:cs="宋体"/>
          <w:szCs w:val="21"/>
        </w:rPr>
      </w:pPr>
      <w:r>
        <w:rPr>
          <w:rFonts w:hint="eastAsia" w:hAnsi="宋体" w:cs="宋体"/>
          <w:szCs w:val="21"/>
        </w:rPr>
        <w:t>种类及规模:</w:t>
      </w:r>
      <w:r>
        <w:rPr>
          <w:rFonts w:hint="eastAsia" w:hAnsi="宋体"/>
          <w:szCs w:val="21"/>
        </w:rPr>
        <w:t>125MPa试压泵5台</w:t>
      </w:r>
      <w:r>
        <w:rPr>
          <w:rFonts w:hint="eastAsia" w:hAnsi="宋体" w:cs="宋体"/>
          <w:szCs w:val="21"/>
          <w:lang w:val="zh-CN"/>
        </w:rPr>
        <w:t>；</w:t>
      </w:r>
    </w:p>
    <w:p>
      <w:pPr>
        <w:pStyle w:val="7"/>
        <w:rPr>
          <w:rFonts w:hint="eastAsia" w:eastAsia="宋体"/>
          <w:lang w:eastAsia="zh-CN"/>
        </w:rPr>
      </w:pPr>
      <w:r>
        <w:rPr>
          <w:rFonts w:hint="eastAsia"/>
        </w:rPr>
        <w:t>使用功能：试压泵主要用于各类高压管汇、井口装置、高压容器等静态压力试压测试</w:t>
      </w:r>
      <w:r>
        <w:rPr>
          <w:rFonts w:hint="eastAsia"/>
          <w:lang w:eastAsia="zh-CN"/>
        </w:rPr>
        <w:t>；</w:t>
      </w:r>
    </w:p>
    <w:p>
      <w:pPr>
        <w:pStyle w:val="7"/>
        <w:rPr>
          <w:rFonts w:hAnsi="宋体" w:cs="宋体"/>
        </w:rPr>
      </w:pPr>
      <w:r>
        <w:rPr>
          <w:rFonts w:hint="eastAsia"/>
        </w:rPr>
        <w:t>标段数量：不划分</w:t>
      </w:r>
      <w:r>
        <w:rPr>
          <w:rFonts w:hint="eastAsia" w:hAnsi="宋体" w:cs="宋体"/>
        </w:rPr>
        <w:t>；</w:t>
      </w:r>
    </w:p>
    <w:p>
      <w:pPr>
        <w:spacing w:line="360" w:lineRule="auto"/>
        <w:ind w:firstLine="420" w:firstLineChars="200"/>
        <w:rPr>
          <w:rFonts w:hAnsi="宋体" w:cs="宋体"/>
          <w:bCs/>
          <w:szCs w:val="21"/>
          <w:lang w:val="zh-CN"/>
        </w:rPr>
      </w:pPr>
      <w:r>
        <w:rPr>
          <w:rFonts w:hint="eastAsia" w:hAnsi="宋体" w:cs="宋体"/>
          <w:szCs w:val="21"/>
        </w:rPr>
        <w:t>交货</w:t>
      </w:r>
      <w:r>
        <w:rPr>
          <w:rFonts w:hint="eastAsia" w:hAnsi="宋体" w:cs="宋体"/>
          <w:bCs/>
          <w:szCs w:val="21"/>
          <w:lang w:val="zh-CN"/>
        </w:rPr>
        <w:t>地点：</w:t>
      </w:r>
      <w:r>
        <w:rPr>
          <w:rFonts w:hint="eastAsia" w:hAnsi="宋体" w:cs="宋体"/>
          <w:szCs w:val="21"/>
        </w:rPr>
        <w:t>重庆市渝北区</w:t>
      </w:r>
      <w:r>
        <w:rPr>
          <w:rFonts w:hint="eastAsia" w:hAnsi="宋体" w:cs="宋体"/>
          <w:szCs w:val="21"/>
          <w:lang w:val="zh-CN"/>
        </w:rPr>
        <w:t>。</w:t>
      </w:r>
    </w:p>
    <w:p>
      <w:pPr>
        <w:spacing w:line="360" w:lineRule="auto"/>
        <w:ind w:firstLine="420" w:firstLineChars="200"/>
        <w:rPr>
          <w:rFonts w:hAnsi="宋体" w:cs="宋体"/>
          <w:bCs/>
          <w:szCs w:val="21"/>
          <w:lang w:val="zh-CN"/>
        </w:rPr>
      </w:pPr>
      <w:r>
        <w:rPr>
          <w:rFonts w:hint="eastAsia" w:hAnsi="宋体" w:cs="宋体"/>
          <w:bCs/>
          <w:szCs w:val="21"/>
          <w:lang w:val="zh-CN"/>
        </w:rPr>
        <w:t>交货期：接到订货通知后90天内全部交货。</w:t>
      </w:r>
    </w:p>
    <w:p>
      <w:pPr>
        <w:spacing w:line="360" w:lineRule="auto"/>
        <w:ind w:firstLine="420" w:firstLineChars="200"/>
        <w:rPr>
          <w:rFonts w:hAnsi="宋体" w:cs="宋体"/>
          <w:bCs/>
          <w:szCs w:val="21"/>
          <w:lang w:val="zh-CN"/>
        </w:rPr>
      </w:pPr>
      <w:r>
        <w:rPr>
          <w:rFonts w:hint="eastAsia" w:hAnsi="宋体" w:cs="宋体"/>
          <w:bCs/>
          <w:szCs w:val="21"/>
          <w:lang w:val="en-US" w:eastAsia="zh-CN"/>
        </w:rPr>
        <w:t>商务计价方式：固定总价, 含13%增值税，含运费</w:t>
      </w:r>
      <w:r>
        <w:rPr>
          <w:rFonts w:hint="eastAsia" w:hAnsi="宋体" w:cs="宋体"/>
          <w:bCs/>
          <w:szCs w:val="21"/>
          <w:lang w:val="zh-CN"/>
        </w:rPr>
        <w:t>。</w:t>
      </w:r>
    </w:p>
    <w:p>
      <w:pPr>
        <w:spacing w:line="360" w:lineRule="auto"/>
        <w:ind w:firstLine="420" w:firstLineChars="200"/>
        <w:rPr>
          <w:rFonts w:hAnsi="宋体" w:cs="宋体"/>
          <w:bCs/>
          <w:szCs w:val="21"/>
          <w:lang w:val="zh-CN"/>
        </w:rPr>
      </w:pPr>
      <w:r>
        <w:rPr>
          <w:rFonts w:hint="eastAsia" w:hAnsi="宋体" w:cs="宋体"/>
          <w:bCs/>
          <w:szCs w:val="21"/>
          <w:lang w:val="zh-CN"/>
        </w:rPr>
        <w:t>2.2 其它具体情况见招标编号为</w:t>
      </w:r>
      <w:r>
        <w:rPr>
          <w:rFonts w:hint="eastAsia"/>
          <w:lang w:val="zh-CN"/>
        </w:rPr>
        <w:t>试修物采招字2020-4-08号</w:t>
      </w:r>
      <w:r>
        <w:rPr>
          <w:rFonts w:hint="eastAsia" w:hAnsi="宋体" w:cs="宋体"/>
          <w:bCs/>
          <w:szCs w:val="21"/>
          <w:lang w:val="zh-CN"/>
        </w:rPr>
        <w:t>的招标文件。</w:t>
      </w:r>
    </w:p>
    <w:p>
      <w:pPr>
        <w:spacing w:line="360" w:lineRule="auto"/>
        <w:ind w:firstLine="422" w:firstLineChars="200"/>
        <w:rPr>
          <w:rFonts w:hAnsi="宋体" w:cs="宋体"/>
          <w:b/>
          <w:szCs w:val="21"/>
          <w:lang w:val="zh-CN"/>
        </w:rPr>
      </w:pPr>
      <w:r>
        <w:rPr>
          <w:rFonts w:hint="eastAsia" w:hAnsi="宋体" w:cs="宋体"/>
          <w:b/>
          <w:szCs w:val="21"/>
        </w:rPr>
        <w:t>*</w:t>
      </w:r>
      <w:r>
        <w:rPr>
          <w:rFonts w:hint="eastAsia" w:hAnsi="宋体" w:cs="宋体"/>
          <w:b/>
          <w:szCs w:val="21"/>
          <w:lang w:val="zh-CN"/>
        </w:rPr>
        <w:t>三、投标人资格要求</w:t>
      </w:r>
    </w:p>
    <w:p>
      <w:pPr>
        <w:spacing w:line="360" w:lineRule="auto"/>
        <w:ind w:firstLine="420" w:firstLineChars="200"/>
        <w:rPr>
          <w:rFonts w:hint="eastAsia" w:hAnsi="宋体" w:cs="宋体"/>
          <w:bCs/>
          <w:szCs w:val="21"/>
          <w:lang w:val="zh-CN"/>
        </w:rPr>
      </w:pPr>
      <w:r>
        <w:rPr>
          <w:rFonts w:hint="eastAsia" w:hAnsi="宋体" w:cs="宋体"/>
          <w:bCs/>
          <w:szCs w:val="21"/>
          <w:lang w:val="zh-CN"/>
        </w:rPr>
        <w:t>1.投标人必须是中华人民共和国境内合法注册的法人，不接受联合体投标。</w:t>
      </w:r>
    </w:p>
    <w:p>
      <w:pPr>
        <w:spacing w:line="360" w:lineRule="auto"/>
        <w:ind w:firstLine="420" w:firstLineChars="200"/>
        <w:rPr>
          <w:rFonts w:hint="eastAsia" w:hAnsi="宋体" w:cs="宋体"/>
          <w:bCs/>
          <w:szCs w:val="21"/>
          <w:highlight w:val="none"/>
          <w:lang w:val="zh-CN"/>
        </w:rPr>
      </w:pPr>
      <w:r>
        <w:rPr>
          <w:rFonts w:hint="eastAsia" w:hAnsi="宋体" w:cs="宋体"/>
          <w:bCs/>
          <w:szCs w:val="21"/>
          <w:lang w:val="zh-CN"/>
        </w:rPr>
        <w:t>2.投标人为代理商的，须具有</w:t>
      </w:r>
      <w:r>
        <w:rPr>
          <w:rFonts w:hint="eastAsia" w:hAnsi="宋体" w:cs="宋体"/>
          <w:bCs/>
          <w:szCs w:val="21"/>
          <w:highlight w:val="none"/>
          <w:lang w:val="zh-CN"/>
        </w:rPr>
        <w:t>制造商针对本项目的有效授权证明文件，同一制造商只能授权一家代理商参加本次投标，出现多家代理商代理同一制造商产品时将均被否决投标。制造商与其授权的代理商同时参加本次投标，仅保留制造商的投标，其授权代理商的投标将被否决。</w:t>
      </w:r>
    </w:p>
    <w:p>
      <w:pPr>
        <w:spacing w:line="360" w:lineRule="auto"/>
        <w:ind w:firstLine="420" w:firstLineChars="200"/>
        <w:rPr>
          <w:rFonts w:hint="eastAsia" w:hAnsi="宋体" w:cs="宋体"/>
          <w:bCs/>
          <w:szCs w:val="21"/>
          <w:highlight w:val="none"/>
          <w:lang w:val="zh-CN"/>
        </w:rPr>
      </w:pPr>
      <w:r>
        <w:rPr>
          <w:rFonts w:hint="eastAsia" w:hAnsi="宋体" w:cs="宋体"/>
          <w:bCs/>
          <w:szCs w:val="21"/>
          <w:highlight w:val="none"/>
          <w:lang w:val="zh-CN"/>
        </w:rPr>
        <w:t>3.产品制造商2018年1月至2020年7月期间制造或销售的工作压力≥125MPa的试压泵（须提供销售合同和对应的增值税专用发票复印件）。</w:t>
      </w:r>
    </w:p>
    <w:p>
      <w:pPr>
        <w:spacing w:line="360" w:lineRule="auto"/>
        <w:ind w:firstLine="420" w:firstLineChars="200"/>
        <w:rPr>
          <w:rFonts w:hint="eastAsia" w:hAnsi="宋体" w:cs="宋体"/>
          <w:bCs/>
          <w:szCs w:val="21"/>
          <w:highlight w:val="none"/>
          <w:lang w:val="zh-CN"/>
        </w:rPr>
      </w:pPr>
      <w:r>
        <w:rPr>
          <w:rFonts w:hint="eastAsia" w:hAnsi="宋体" w:cs="宋体"/>
          <w:bCs/>
          <w:szCs w:val="21"/>
          <w:highlight w:val="none"/>
          <w:lang w:val="zh-CN"/>
        </w:rPr>
        <w:t>4. 信誉要求：</w:t>
      </w:r>
    </w:p>
    <w:p>
      <w:pPr>
        <w:spacing w:line="360" w:lineRule="auto"/>
        <w:ind w:firstLine="420" w:firstLineChars="200"/>
        <w:rPr>
          <w:rFonts w:hint="eastAsia" w:hAnsi="宋体" w:cs="宋体"/>
          <w:bCs/>
          <w:szCs w:val="21"/>
          <w:highlight w:val="none"/>
          <w:lang w:val="zh-CN"/>
        </w:rPr>
      </w:pPr>
      <w:r>
        <w:rPr>
          <w:rFonts w:hint="eastAsia" w:hAnsi="宋体" w:cs="宋体"/>
          <w:bCs/>
          <w:szCs w:val="21"/>
          <w:highlight w:val="none"/>
          <w:lang w:val="zh-CN"/>
        </w:rPr>
        <w:t>（1）投标人未被责令停业、取消投标资格，无资产被冻结、财产被接管、破产情况。</w:t>
      </w:r>
    </w:p>
    <w:p>
      <w:pPr>
        <w:spacing w:line="360" w:lineRule="auto"/>
        <w:ind w:firstLine="420" w:firstLineChars="200"/>
        <w:rPr>
          <w:rFonts w:hint="eastAsia" w:hAnsi="宋体" w:cs="宋体"/>
          <w:bCs/>
          <w:szCs w:val="21"/>
          <w:highlight w:val="none"/>
          <w:lang w:val="zh-CN"/>
        </w:rPr>
      </w:pPr>
      <w:r>
        <w:rPr>
          <w:rFonts w:hint="eastAsia" w:hAnsi="宋体" w:cs="宋体"/>
          <w:bCs/>
          <w:szCs w:val="21"/>
          <w:highlight w:val="none"/>
          <w:lang w:val="zh-CN"/>
        </w:rPr>
        <w:t>（2）投标人具有良好的商业信誉，投标人2018年1月1日至投标截止日生产经营活动中无违法、违规等不良记录（此不良记录是指在生产经营活动中有商业欺诈、质量伪劣等实质性侵害招标人权益的情形，具体表现形式包括但不限于因上述行为受到行政处罚、被办案机关立案追查、审查起诉、被法院判决有罪等）；未被国家、招标人及其上级部门明文规定暂停、中止或取消交易资格。</w:t>
      </w:r>
    </w:p>
    <w:p>
      <w:pPr>
        <w:spacing w:line="360" w:lineRule="auto"/>
        <w:ind w:firstLine="420" w:firstLineChars="200"/>
        <w:rPr>
          <w:rFonts w:hint="eastAsia" w:hAnsi="宋体" w:cs="宋体"/>
          <w:bCs/>
          <w:szCs w:val="21"/>
          <w:highlight w:val="none"/>
          <w:lang w:val="zh-CN"/>
        </w:rPr>
      </w:pPr>
      <w:r>
        <w:rPr>
          <w:rFonts w:hint="eastAsia" w:hAnsi="宋体" w:cs="宋体"/>
          <w:bCs/>
          <w:szCs w:val="21"/>
          <w:highlight w:val="none"/>
          <w:lang w:val="zh-CN"/>
        </w:rPr>
        <w:t>（3）投标人在“国家企业信用信息公示系统”网站（www.gsxt.gov.cn）未被列入经营异常名录和严重违法失信企业名单，“信用中国”网站（www.creditchina.gov.cn）未被列入失信被执行人。</w:t>
      </w:r>
    </w:p>
    <w:p>
      <w:pPr>
        <w:spacing w:line="360" w:lineRule="auto"/>
        <w:ind w:firstLine="420" w:firstLineChars="200"/>
        <w:rPr>
          <w:rFonts w:hint="eastAsia" w:hAnsi="宋体" w:cs="宋体"/>
          <w:bCs/>
          <w:szCs w:val="21"/>
          <w:highlight w:val="none"/>
          <w:lang w:val="zh-CN"/>
        </w:rPr>
      </w:pPr>
      <w:r>
        <w:rPr>
          <w:rFonts w:hint="eastAsia" w:hAnsi="宋体" w:cs="宋体"/>
          <w:bCs/>
          <w:szCs w:val="21"/>
          <w:highlight w:val="none"/>
          <w:lang w:val="zh-CN"/>
        </w:rPr>
        <w:t>5.投标人应符合法律、行政法规规定的其他条件。</w:t>
      </w:r>
    </w:p>
    <w:p>
      <w:pPr>
        <w:spacing w:line="360" w:lineRule="auto"/>
        <w:ind w:firstLine="422" w:firstLineChars="200"/>
        <w:rPr>
          <w:rFonts w:hAnsi="宋体" w:cs="宋体"/>
          <w:b/>
          <w:szCs w:val="21"/>
          <w:highlight w:val="none"/>
          <w:lang w:val="zh-CN"/>
        </w:rPr>
      </w:pPr>
      <w:r>
        <w:rPr>
          <w:rFonts w:hint="eastAsia" w:hAnsi="宋体" w:cs="宋体"/>
          <w:b/>
          <w:szCs w:val="21"/>
          <w:highlight w:val="none"/>
          <w:lang w:val="zh-CN"/>
        </w:rPr>
        <w:t>四、招标文件的获取</w:t>
      </w:r>
    </w:p>
    <w:p>
      <w:pPr>
        <w:pStyle w:val="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4.1凡有意参加投标</w:t>
      </w:r>
      <w:r>
        <w:rPr>
          <w:rFonts w:hint="eastAsia" w:asciiTheme="minorEastAsia" w:hAnsiTheme="minorEastAsia" w:eastAsiaTheme="minorEastAsia" w:cstheme="minorEastAsia"/>
          <w:color w:val="auto"/>
          <w:sz w:val="21"/>
          <w:szCs w:val="21"/>
          <w:highlight w:val="none"/>
        </w:rPr>
        <w:t>者，请于</w:t>
      </w:r>
      <w:r>
        <w:rPr>
          <w:rFonts w:hint="eastAsia" w:asciiTheme="minorEastAsia" w:hAnsiTheme="minorEastAsia" w:eastAsiaTheme="minorEastAsia" w:cstheme="minorEastAsia"/>
          <w:b/>
          <w:bCs/>
          <w:color w:val="auto"/>
          <w:sz w:val="21"/>
          <w:szCs w:val="21"/>
          <w:highlight w:val="none"/>
          <w:u w:val="single"/>
        </w:rPr>
        <w:t>2020</w:t>
      </w:r>
      <w:r>
        <w:rPr>
          <w:rFonts w:hint="eastAsia" w:asciiTheme="minorEastAsia" w:hAnsiTheme="minorEastAsia" w:eastAsiaTheme="minorEastAsia" w:cstheme="minorEastAsia"/>
          <w:b/>
          <w:bCs/>
          <w:color w:val="auto"/>
          <w:sz w:val="21"/>
          <w:szCs w:val="21"/>
          <w:highlight w:val="none"/>
        </w:rPr>
        <w:t>年</w:t>
      </w:r>
      <w:r>
        <w:rPr>
          <w:rFonts w:hint="eastAsia" w:asciiTheme="minorEastAsia" w:hAnsiTheme="minorEastAsia" w:eastAsiaTheme="minorEastAsia" w:cstheme="minorEastAsia"/>
          <w:b/>
          <w:bCs/>
          <w:color w:val="auto"/>
          <w:sz w:val="21"/>
          <w:szCs w:val="21"/>
          <w:highlight w:val="none"/>
          <w:u w:val="single"/>
          <w:lang w:val="en-US" w:eastAsia="zh-CN"/>
        </w:rPr>
        <w:t>8</w:t>
      </w:r>
      <w:r>
        <w:rPr>
          <w:rFonts w:hint="eastAsia" w:asciiTheme="minorEastAsia" w:hAnsiTheme="minorEastAsia" w:eastAsiaTheme="minorEastAsia" w:cstheme="minorEastAsia"/>
          <w:b/>
          <w:bCs/>
          <w:color w:val="auto"/>
          <w:sz w:val="21"/>
          <w:szCs w:val="21"/>
          <w:highlight w:val="none"/>
        </w:rPr>
        <w:t>月</w:t>
      </w:r>
      <w:r>
        <w:rPr>
          <w:rFonts w:hint="eastAsia" w:asciiTheme="minorEastAsia" w:hAnsiTheme="minorEastAsia" w:eastAsiaTheme="minorEastAsia" w:cstheme="minorEastAsia"/>
          <w:b/>
          <w:bCs/>
          <w:color w:val="auto"/>
          <w:sz w:val="21"/>
          <w:szCs w:val="21"/>
          <w:highlight w:val="none"/>
          <w:u w:val="single"/>
          <w:lang w:val="en-US" w:eastAsia="zh-CN"/>
        </w:rPr>
        <w:t xml:space="preserve"> 31 </w:t>
      </w:r>
      <w:r>
        <w:rPr>
          <w:rFonts w:hint="eastAsia" w:asciiTheme="minorEastAsia" w:hAnsiTheme="minorEastAsia" w:eastAsiaTheme="minorEastAsia" w:cstheme="minorEastAsia"/>
          <w:b/>
          <w:bCs/>
          <w:color w:val="auto"/>
          <w:sz w:val="21"/>
          <w:szCs w:val="21"/>
          <w:highlight w:val="none"/>
        </w:rPr>
        <w:t>日至</w:t>
      </w:r>
      <w:r>
        <w:rPr>
          <w:rFonts w:hint="eastAsia" w:asciiTheme="minorEastAsia" w:hAnsiTheme="minorEastAsia" w:eastAsiaTheme="minorEastAsia" w:cstheme="minorEastAsia"/>
          <w:b/>
          <w:bCs/>
          <w:color w:val="auto"/>
          <w:sz w:val="21"/>
          <w:szCs w:val="21"/>
          <w:highlight w:val="none"/>
          <w:u w:val="single"/>
        </w:rPr>
        <w:t xml:space="preserve"> 2020</w:t>
      </w:r>
      <w:r>
        <w:rPr>
          <w:rFonts w:hint="eastAsia" w:asciiTheme="minorEastAsia" w:hAnsiTheme="minorEastAsia" w:eastAsiaTheme="minorEastAsia" w:cstheme="minorEastAsia"/>
          <w:b/>
          <w:bCs/>
          <w:color w:val="auto"/>
          <w:sz w:val="21"/>
          <w:szCs w:val="21"/>
          <w:highlight w:val="none"/>
        </w:rPr>
        <w:t>年</w:t>
      </w:r>
      <w:r>
        <w:rPr>
          <w:rFonts w:hint="eastAsia" w:asciiTheme="minorEastAsia" w:hAnsiTheme="minorEastAsia" w:eastAsiaTheme="minorEastAsia" w:cstheme="minorEastAsia"/>
          <w:b/>
          <w:bCs/>
          <w:color w:val="auto"/>
          <w:sz w:val="21"/>
          <w:szCs w:val="21"/>
          <w:highlight w:val="none"/>
          <w:u w:val="single"/>
          <w:lang w:val="en-US" w:eastAsia="zh-CN"/>
        </w:rPr>
        <w:t>9</w:t>
      </w:r>
      <w:r>
        <w:rPr>
          <w:rFonts w:hint="eastAsia" w:asciiTheme="minorEastAsia" w:hAnsiTheme="minorEastAsia" w:eastAsiaTheme="minorEastAsia" w:cstheme="minorEastAsia"/>
          <w:b/>
          <w:bCs/>
          <w:color w:val="auto"/>
          <w:sz w:val="21"/>
          <w:szCs w:val="21"/>
          <w:highlight w:val="none"/>
        </w:rPr>
        <w:t>月</w:t>
      </w:r>
      <w:r>
        <w:rPr>
          <w:rFonts w:hint="eastAsia" w:asciiTheme="minorEastAsia" w:hAnsiTheme="minorEastAsia" w:eastAsiaTheme="minorEastAsia" w:cstheme="minorEastAsia"/>
          <w:b/>
          <w:bCs/>
          <w:color w:val="auto"/>
          <w:sz w:val="21"/>
          <w:szCs w:val="21"/>
          <w:highlight w:val="none"/>
          <w:u w:val="single"/>
          <w:lang w:val="en-US" w:eastAsia="zh-CN"/>
        </w:rPr>
        <w:t xml:space="preserve"> 4 </w:t>
      </w:r>
      <w:r>
        <w:rPr>
          <w:rFonts w:hint="eastAsia" w:asciiTheme="minorEastAsia" w:hAnsiTheme="minorEastAsia" w:eastAsiaTheme="minorEastAsia" w:cstheme="minorEastAsia"/>
          <w:b/>
          <w:bCs/>
          <w:color w:val="auto"/>
          <w:sz w:val="21"/>
          <w:szCs w:val="21"/>
          <w:highlight w:val="none"/>
        </w:rPr>
        <w:t>日</w:t>
      </w:r>
      <w:r>
        <w:rPr>
          <w:rFonts w:hint="eastAsia" w:asciiTheme="minorEastAsia" w:hAnsiTheme="minorEastAsia" w:eastAsiaTheme="minorEastAsia" w:cstheme="minorEastAsia"/>
          <w:color w:val="auto"/>
          <w:sz w:val="21"/>
          <w:szCs w:val="21"/>
          <w:highlight w:val="none"/>
        </w:rPr>
        <w:t>，上午</w:t>
      </w:r>
      <w:r>
        <w:rPr>
          <w:rFonts w:hint="eastAsia" w:asciiTheme="minorEastAsia" w:hAnsiTheme="minorEastAsia" w:eastAsiaTheme="minorEastAsia" w:cstheme="minorEastAsia"/>
          <w:color w:val="auto"/>
          <w:sz w:val="21"/>
          <w:szCs w:val="21"/>
          <w:highlight w:val="none"/>
          <w:u w:val="single"/>
        </w:rPr>
        <w:t xml:space="preserve"> 9 </w:t>
      </w:r>
      <w:r>
        <w:rPr>
          <w:rFonts w:hint="eastAsia" w:asciiTheme="minorEastAsia" w:hAnsiTheme="minorEastAsia" w:eastAsiaTheme="minorEastAsia" w:cstheme="minorEastAsia"/>
          <w:color w:val="auto"/>
          <w:sz w:val="21"/>
          <w:szCs w:val="21"/>
          <w:highlight w:val="none"/>
        </w:rPr>
        <w:t>时至</w:t>
      </w:r>
      <w:r>
        <w:rPr>
          <w:rFonts w:hint="eastAsia" w:asciiTheme="minorEastAsia" w:hAnsiTheme="minorEastAsia" w:eastAsiaTheme="minorEastAsia" w:cstheme="minorEastAsia"/>
          <w:color w:val="auto"/>
          <w:sz w:val="21"/>
          <w:szCs w:val="21"/>
          <w:highlight w:val="none"/>
          <w:u w:val="single"/>
        </w:rPr>
        <w:t>12</w:t>
      </w:r>
      <w:r>
        <w:rPr>
          <w:rFonts w:hint="eastAsia" w:asciiTheme="minorEastAsia" w:hAnsiTheme="minorEastAsia" w:eastAsiaTheme="minorEastAsia" w:cstheme="minorEastAsia"/>
          <w:color w:val="auto"/>
          <w:sz w:val="21"/>
          <w:szCs w:val="21"/>
          <w:highlight w:val="none"/>
        </w:rPr>
        <w:t>时，下午</w:t>
      </w:r>
      <w:r>
        <w:rPr>
          <w:rFonts w:hint="eastAsia" w:asciiTheme="minorEastAsia" w:hAnsiTheme="minorEastAsia" w:eastAsiaTheme="minorEastAsia" w:cstheme="minorEastAsia"/>
          <w:color w:val="auto"/>
          <w:sz w:val="21"/>
          <w:szCs w:val="21"/>
          <w:highlight w:val="none"/>
          <w:u w:val="single"/>
        </w:rPr>
        <w:t xml:space="preserve"> 14 </w:t>
      </w:r>
      <w:r>
        <w:rPr>
          <w:rFonts w:hint="eastAsia" w:asciiTheme="minorEastAsia" w:hAnsiTheme="minorEastAsia" w:eastAsiaTheme="minorEastAsia" w:cstheme="minorEastAsia"/>
          <w:color w:val="auto"/>
          <w:sz w:val="21"/>
          <w:szCs w:val="21"/>
          <w:highlight w:val="none"/>
        </w:rPr>
        <w:t>时至</w:t>
      </w:r>
      <w:r>
        <w:rPr>
          <w:rFonts w:hint="eastAsia" w:asciiTheme="minorEastAsia" w:hAnsiTheme="minorEastAsia" w:eastAsiaTheme="minorEastAsia" w:cstheme="minorEastAsia"/>
          <w:color w:val="auto"/>
          <w:sz w:val="21"/>
          <w:szCs w:val="21"/>
          <w:highlight w:val="none"/>
          <w:u w:val="single"/>
        </w:rPr>
        <w:t>17</w:t>
      </w:r>
      <w:r>
        <w:rPr>
          <w:rFonts w:hint="eastAsia" w:asciiTheme="minorEastAsia" w:hAnsiTheme="minorEastAsia" w:eastAsiaTheme="minorEastAsia" w:cstheme="minorEastAsia"/>
          <w:color w:val="auto"/>
          <w:sz w:val="21"/>
          <w:szCs w:val="21"/>
          <w:highlight w:val="none"/>
        </w:rPr>
        <w:t>时（法定节假日、公休日除外）通过以下方式获取：标书购买款须从公司基本帐户转出，</w:t>
      </w:r>
      <w:r>
        <w:rPr>
          <w:rFonts w:hint="eastAsia" w:asciiTheme="minorEastAsia" w:hAnsiTheme="minorEastAsia" w:eastAsiaTheme="minorEastAsia" w:cstheme="minorEastAsia"/>
          <w:b/>
          <w:bCs/>
          <w:color w:val="auto"/>
          <w:sz w:val="21"/>
          <w:szCs w:val="21"/>
          <w:highlight w:val="none"/>
        </w:rPr>
        <w:t>汇款时请注明“</w:t>
      </w:r>
      <w:r>
        <w:rPr>
          <w:rFonts w:hint="eastAsia" w:asciiTheme="minorEastAsia" w:hAnsiTheme="minorEastAsia" w:eastAsiaTheme="minorEastAsia" w:cstheme="minorEastAsia"/>
          <w:b/>
          <w:bCs/>
          <w:color w:val="auto"/>
          <w:sz w:val="21"/>
          <w:szCs w:val="20"/>
          <w:highlight w:val="none"/>
          <w:u w:val="single"/>
        </w:rPr>
        <w:t>125MPa试压泵物资采购招标文件费</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color w:val="auto"/>
          <w:sz w:val="21"/>
          <w:szCs w:val="21"/>
          <w:highlight w:val="none"/>
        </w:rPr>
        <w:t>。缴费后将以下资料盖鲜章的扫描件PDF版：</w:t>
      </w:r>
    </w:p>
    <w:p>
      <w:pPr>
        <w:pStyle w:val="7"/>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val="en-US" w:eastAsia="zh-CN"/>
        </w:rPr>
        <w:t>1</w:t>
      </w:r>
      <w:r>
        <w:rPr>
          <w:rFonts w:hint="eastAsia" w:asciiTheme="minorEastAsia" w:hAnsiTheme="minorEastAsia" w:eastAsiaTheme="minorEastAsia" w:cstheme="minorEastAsia"/>
          <w:b/>
          <w:bCs/>
          <w:color w:val="auto"/>
          <w:sz w:val="21"/>
          <w:szCs w:val="21"/>
          <w:highlight w:val="none"/>
          <w:lang w:eastAsia="zh-CN"/>
        </w:rPr>
        <w:t>）若投标人为代理商的，须提供制造商</w:t>
      </w:r>
      <w:r>
        <w:rPr>
          <w:rFonts w:hint="eastAsia" w:asciiTheme="minorEastAsia" w:hAnsiTheme="minorEastAsia" w:eastAsiaTheme="minorEastAsia" w:cstheme="minorEastAsia"/>
          <w:b/>
          <w:bCs/>
          <w:color w:val="auto"/>
          <w:sz w:val="21"/>
          <w:szCs w:val="21"/>
          <w:highlight w:val="none"/>
          <w:lang w:val="zh-CN" w:eastAsia="zh-CN"/>
        </w:rPr>
        <w:t>针对本项目</w:t>
      </w:r>
      <w:r>
        <w:rPr>
          <w:rFonts w:hint="eastAsia" w:asciiTheme="minorEastAsia" w:hAnsiTheme="minorEastAsia" w:eastAsiaTheme="minorEastAsia" w:cstheme="minorEastAsia"/>
          <w:b/>
          <w:bCs/>
          <w:color w:val="auto"/>
          <w:sz w:val="21"/>
          <w:szCs w:val="21"/>
          <w:highlight w:val="none"/>
          <w:lang w:eastAsia="zh-CN"/>
        </w:rPr>
        <w:t>的有效授权证明文件</w:t>
      </w:r>
      <w:r>
        <w:rPr>
          <w:rFonts w:hint="eastAsia" w:asciiTheme="minorEastAsia" w:hAnsiTheme="minorEastAsia" w:eastAsiaTheme="minorEastAsia" w:cstheme="minorEastAsia"/>
          <w:b/>
          <w:bCs/>
          <w:color w:val="auto"/>
          <w:sz w:val="21"/>
          <w:szCs w:val="21"/>
          <w:highlight w:val="none"/>
          <w:lang w:eastAsia="zh-CN"/>
        </w:rPr>
        <w:t>（同一制造商只能授权一家代理商参加本次投标，出现多家代理商代理同一制造商产品时将均被否决投标报名。制造商与其授权的代理商同时参加本次投标，仅保留制造商的投标，其授权代理商的投标将被否决）；</w:t>
      </w:r>
    </w:p>
    <w:p>
      <w:pPr>
        <w:pStyle w:val="7"/>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b/>
          <w:color w:val="auto"/>
          <w:sz w:val="21"/>
          <w:szCs w:val="21"/>
          <w:highlight w:val="none"/>
          <w:lang w:eastAsia="zh-CN"/>
        </w:rPr>
        <w:t>（</w:t>
      </w:r>
      <w:r>
        <w:rPr>
          <w:rFonts w:hint="eastAsia" w:asciiTheme="minorEastAsia" w:hAnsiTheme="minorEastAsia" w:eastAsiaTheme="minorEastAsia" w:cstheme="minorEastAsia"/>
          <w:b/>
          <w:color w:val="auto"/>
          <w:sz w:val="21"/>
          <w:szCs w:val="21"/>
          <w:highlight w:val="none"/>
          <w:lang w:val="en-US" w:eastAsia="zh-CN"/>
        </w:rPr>
        <w:t>2</w:t>
      </w:r>
      <w:r>
        <w:rPr>
          <w:rFonts w:hint="eastAsia" w:asciiTheme="minorEastAsia" w:hAnsiTheme="minorEastAsia" w:eastAsiaTheme="minorEastAsia" w:cstheme="minorEastAsia"/>
          <w:b/>
          <w:color w:val="auto"/>
          <w:sz w:val="21"/>
          <w:szCs w:val="21"/>
          <w:highlight w:val="none"/>
          <w:lang w:eastAsia="zh-CN"/>
        </w:rPr>
        <w:t>）</w:t>
      </w:r>
      <w:r>
        <w:rPr>
          <w:rFonts w:hint="eastAsia" w:asciiTheme="minorEastAsia" w:hAnsiTheme="minorEastAsia" w:eastAsiaTheme="minorEastAsia" w:cstheme="minorEastAsia"/>
          <w:b/>
          <w:color w:val="auto"/>
          <w:sz w:val="21"/>
          <w:szCs w:val="21"/>
          <w:highlight w:val="none"/>
        </w:rPr>
        <w:t>持单位介绍信原件或者法人授权委托书原件、身份证复印件、注册于中华人民共和国的企业法人营业执照或事业单位法人证书复印件、公司基本账户开户许可证复印件、购买标书汇款凭证、领取（购买）招标文件登记表（详见附件）领取招标文件</w:t>
      </w:r>
      <w:r>
        <w:rPr>
          <w:rFonts w:hint="eastAsia" w:asciiTheme="minorEastAsia" w:hAnsiTheme="minorEastAsia" w:eastAsiaTheme="minorEastAsia" w:cstheme="minorEastAsia"/>
          <w:color w:val="auto"/>
          <w:sz w:val="21"/>
          <w:szCs w:val="21"/>
          <w:highlight w:val="none"/>
          <w:lang w:eastAsia="zh-CN"/>
        </w:rPr>
        <w:t>；</w:t>
      </w:r>
    </w:p>
    <w:p>
      <w:pPr>
        <w:pStyle w:val="7"/>
        <w:rPr>
          <w:rFonts w:asciiTheme="minorEastAsia" w:hAnsiTheme="minorEastAsia" w:eastAsiaTheme="minorEastAsia" w:cstheme="minorEastAsia"/>
          <w:b/>
          <w:bCs/>
          <w:color w:val="auto"/>
          <w:szCs w:val="21"/>
          <w:highlight w:val="none"/>
          <w:u w:val="single"/>
        </w:rPr>
      </w:pPr>
      <w:r>
        <w:rPr>
          <w:rFonts w:hint="eastAsia" w:asciiTheme="minorEastAsia" w:hAnsiTheme="minorEastAsia" w:eastAsiaTheme="minorEastAsia" w:cstheme="minorEastAsia"/>
          <w:color w:val="auto"/>
          <w:sz w:val="21"/>
          <w:szCs w:val="21"/>
          <w:highlight w:val="none"/>
        </w:rPr>
        <w:t>以电子邮件方式发至联系人邮箱。</w:t>
      </w:r>
      <w:r>
        <w:rPr>
          <w:rFonts w:hint="eastAsia" w:hAnsi="宋体"/>
          <w:b/>
          <w:bCs/>
          <w:highlight w:val="none"/>
        </w:rPr>
        <w:t>超过规定时间发送的资料将不予受理（以邮件收到最晚时间为准）。</w:t>
      </w:r>
    </w:p>
    <w:p>
      <w:pPr>
        <w:spacing w:line="360" w:lineRule="auto"/>
        <w:ind w:firstLine="420" w:firstLineChars="200"/>
        <w:rPr>
          <w:rFonts w:hint="eastAsia" w:ascii="宋体" w:hAnsi="宋体" w:cs="宋体"/>
          <w:bCs/>
          <w:highlight w:val="none"/>
          <w:lang w:val="zh-CN"/>
        </w:rPr>
      </w:pPr>
      <w:r>
        <w:rPr>
          <w:rFonts w:hint="eastAsia" w:ascii="宋体" w:hAnsi="宋体" w:cs="宋体"/>
          <w:bCs/>
          <w:highlight w:val="none"/>
          <w:lang w:val="zh-CN"/>
        </w:rPr>
        <w:t>注：购买招标文件需要的证件，所有复印件均需加盖投标单位章,不得使用专用章（如经济合同章、投标专用章等）或下属单位印章代替，如购买人未提供合格的资料，视为报名不成功，由购买人承担相关责任。在招标文件的获取时间内，潜在投标人成功转款并提交了完整的合格的资料，视为报名成功，任何一项未满足要求的均视为报名不成功，由购买人承担相关责任。招标代理机构只针对报名成功的潜在投标人发送招标文件。</w:t>
      </w:r>
    </w:p>
    <w:p>
      <w:pPr>
        <w:pStyle w:val="7"/>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 招标文件每套售价</w:t>
      </w:r>
      <w:r>
        <w:rPr>
          <w:rFonts w:hint="eastAsia" w:asciiTheme="minorEastAsia" w:hAnsiTheme="minorEastAsia" w:eastAsiaTheme="minorEastAsia" w:cstheme="minorEastAsia"/>
          <w:color w:val="auto"/>
          <w:sz w:val="21"/>
          <w:szCs w:val="21"/>
          <w:highlight w:val="none"/>
          <w:u w:val="single"/>
          <w:lang w:val="en-US" w:eastAsia="zh-CN"/>
        </w:rPr>
        <w:t>300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元，售后不退。</w:t>
      </w:r>
    </w:p>
    <w:p>
      <w:pPr>
        <w:pStyle w:val="7"/>
        <w:rPr>
          <w:rFonts w:hint="eastAsia" w:hAnsi="宋体"/>
          <w:b/>
          <w:bCs/>
          <w:highlight w:val="none"/>
        </w:rPr>
      </w:pPr>
      <w:r>
        <w:rPr>
          <w:rFonts w:hint="eastAsia" w:asciiTheme="minorEastAsia" w:hAnsiTheme="minorEastAsia" w:eastAsiaTheme="minorEastAsia" w:cstheme="minorEastAsia"/>
          <w:b/>
          <w:bCs/>
          <w:color w:val="auto"/>
          <w:sz w:val="21"/>
          <w:szCs w:val="21"/>
          <w:highlight w:val="none"/>
        </w:rPr>
        <w:t>4.3所有购买了招标文件的潜在投标人</w:t>
      </w:r>
      <w:r>
        <w:rPr>
          <w:rFonts w:hint="eastAsia" w:asciiTheme="minorEastAsia" w:hAnsiTheme="minorEastAsia" w:eastAsiaTheme="minorEastAsia" w:cstheme="minorEastAsia"/>
          <w:b/>
          <w:bCs/>
          <w:color w:val="auto"/>
          <w:sz w:val="21"/>
          <w:szCs w:val="21"/>
          <w:highlight w:val="none"/>
          <w:lang w:eastAsia="zh-CN"/>
        </w:rPr>
        <w:t>须</w:t>
      </w:r>
      <w:r>
        <w:rPr>
          <w:rFonts w:hint="eastAsia" w:hAnsi="宋体" w:eastAsiaTheme="minorEastAsia"/>
          <w:b/>
          <w:bCs/>
          <w:szCs w:val="21"/>
          <w:highlight w:val="none"/>
          <w:lang w:eastAsia="zh-CN"/>
        </w:rPr>
        <w:t>以</w:t>
      </w:r>
      <w:r>
        <w:rPr>
          <w:rFonts w:hint="eastAsia" w:hAnsi="宋体"/>
          <w:b/>
          <w:bCs/>
          <w:szCs w:val="21"/>
          <w:highlight w:val="none"/>
        </w:rPr>
        <w:t>邮件的方式</w:t>
      </w:r>
      <w:r>
        <w:rPr>
          <w:rFonts w:hint="eastAsia" w:hAnsi="宋体"/>
          <w:b/>
          <w:bCs/>
          <w:szCs w:val="21"/>
          <w:highlight w:val="none"/>
          <w:lang w:eastAsia="zh-CN"/>
        </w:rPr>
        <w:t>回复</w:t>
      </w:r>
      <w:r>
        <w:rPr>
          <w:rFonts w:hint="eastAsia" w:hAnsi="宋体"/>
          <w:b/>
          <w:bCs/>
          <w:szCs w:val="21"/>
          <w:highlight w:val="none"/>
        </w:rPr>
        <w:t>告知是否成功收到招标文件，超过24小时未回复的视为自动收到，</w:t>
      </w:r>
      <w:r>
        <w:rPr>
          <w:rFonts w:hint="eastAsia" w:hAnsi="宋体"/>
          <w:b/>
          <w:bCs/>
          <w:highlight w:val="none"/>
        </w:rPr>
        <w:t>由于潜在投标人提供的收件邮箱地址错误导致未收到招标文件的，由购买人承担相关责任。</w:t>
      </w:r>
      <w:bookmarkStart w:id="6" w:name="_GoBack"/>
      <w:bookmarkEnd w:id="6"/>
    </w:p>
    <w:p>
      <w:pPr>
        <w:pStyle w:val="7"/>
        <w:rPr>
          <w:rFonts w:hint="eastAsia" w:hAnsi="宋体"/>
          <w:b/>
          <w:bCs/>
          <w:highlight w:val="none"/>
        </w:rPr>
      </w:pPr>
      <w:r>
        <w:rPr>
          <w:rFonts w:hint="eastAsia" w:hAnsi="宋体"/>
          <w:b/>
          <w:bCs/>
          <w:highlight w:val="none"/>
        </w:rPr>
        <w:t>请投标人在购买标书后5个工作日内以正式书面函件的方式告知是否参加本次招标项目的投标，回函格式详见附件：《投标回函格式》</w:t>
      </w:r>
      <w:r>
        <w:rPr>
          <w:rFonts w:hint="eastAsia" w:hAnsi="宋体"/>
          <w:b/>
          <w:bCs/>
          <w:highlight w:val="none"/>
          <w:lang w:eastAsia="zh-CN"/>
        </w:rPr>
        <w:t>；</w:t>
      </w:r>
      <w:r>
        <w:rPr>
          <w:rFonts w:hint="eastAsia" w:hAnsi="宋体"/>
          <w:b/>
          <w:bCs/>
          <w:highlight w:val="none"/>
        </w:rPr>
        <w:t>否则招标人可视为其不参加投标处理。</w:t>
      </w:r>
    </w:p>
    <w:p>
      <w:pPr>
        <w:pStyle w:val="7"/>
        <w:ind w:firstLineChars="0"/>
        <w:rPr>
          <w:rFonts w:asciiTheme="minorEastAsia" w:hAnsiTheme="minorEastAsia" w:eastAsiaTheme="minorEastAsia" w:cstheme="minorEastAsia"/>
          <w:b/>
          <w:color w:val="000000"/>
          <w:sz w:val="21"/>
          <w:szCs w:val="21"/>
          <w:highlight w:val="none"/>
        </w:rPr>
      </w:pPr>
      <w:r>
        <w:rPr>
          <w:rFonts w:hint="eastAsia" w:asciiTheme="minorEastAsia" w:hAnsiTheme="minorEastAsia" w:eastAsiaTheme="minorEastAsia" w:cstheme="minorEastAsia"/>
          <w:b/>
          <w:color w:val="000000"/>
          <w:sz w:val="21"/>
          <w:szCs w:val="21"/>
          <w:highlight w:val="none"/>
        </w:rPr>
        <w:t>4.4招标文件购买联系方式：</w:t>
      </w:r>
    </w:p>
    <w:tbl>
      <w:tblPr>
        <w:tblStyle w:val="5"/>
        <w:tblW w:w="9172" w:type="dxa"/>
        <w:tblInd w:w="0" w:type="dxa"/>
        <w:tblLayout w:type="fixed"/>
        <w:tblCellMar>
          <w:top w:w="0" w:type="dxa"/>
          <w:left w:w="108" w:type="dxa"/>
          <w:bottom w:w="0" w:type="dxa"/>
          <w:right w:w="108" w:type="dxa"/>
        </w:tblCellMar>
      </w:tblPr>
      <w:tblGrid>
        <w:gridCol w:w="2768"/>
        <w:gridCol w:w="6404"/>
      </w:tblGrid>
      <w:tr>
        <w:tblPrEx>
          <w:tblLayout w:type="fixed"/>
        </w:tblPrEx>
        <w:trPr>
          <w:trHeight w:val="557" w:hRule="atLeast"/>
        </w:trPr>
        <w:tc>
          <w:tcPr>
            <w:tcW w:w="2768" w:type="dxa"/>
            <w:tcBorders>
              <w:top w:val="dotted" w:color="000000" w:sz="4" w:space="0"/>
              <w:left w:val="dotted" w:color="000000" w:sz="4" w:space="0"/>
              <w:bottom w:val="dotted" w:color="000000" w:sz="4" w:space="0"/>
              <w:right w:val="dotted" w:color="000000" w:sz="4" w:space="0"/>
            </w:tcBorders>
            <w:vAlign w:val="center"/>
          </w:tcPr>
          <w:p>
            <w:pPr>
              <w:pStyle w:val="7"/>
              <w:ind w:firstLine="0" w:firstLineChars="0"/>
              <w:jc w:val="center"/>
              <w:rPr>
                <w:rFonts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招标文件购买联系方式</w:t>
            </w:r>
          </w:p>
        </w:tc>
        <w:tc>
          <w:tcPr>
            <w:tcW w:w="6404" w:type="dxa"/>
            <w:tcBorders>
              <w:top w:val="dotted" w:color="000000" w:sz="4" w:space="0"/>
              <w:left w:val="nil"/>
              <w:bottom w:val="dotted" w:color="000000" w:sz="4" w:space="0"/>
              <w:right w:val="dotted" w:color="000000" w:sz="4" w:space="0"/>
            </w:tcBorders>
          </w:tcPr>
          <w:p>
            <w:pPr>
              <w:pStyle w:val="7"/>
              <w:ind w:firstLine="0" w:firstLineChars="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联系人：</w:t>
            </w:r>
            <w:r>
              <w:rPr>
                <w:rFonts w:hint="eastAsia" w:asciiTheme="minorEastAsia" w:hAnsiTheme="minorEastAsia" w:eastAsiaTheme="minorEastAsia" w:cstheme="minorEastAsia"/>
                <w:color w:val="auto"/>
                <w:sz w:val="21"/>
                <w:szCs w:val="21"/>
                <w:highlight w:val="none"/>
                <w:lang w:eastAsia="zh-CN"/>
              </w:rPr>
              <w:t>张女士</w:t>
            </w:r>
          </w:p>
          <w:p>
            <w:pPr>
              <w:pStyle w:val="7"/>
              <w:ind w:firstLine="0" w:firstLineChars="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联系电话：</w:t>
            </w:r>
            <w:r>
              <w:rPr>
                <w:rFonts w:hint="eastAsia" w:asciiTheme="minorEastAsia" w:hAnsiTheme="minorEastAsia" w:eastAsiaTheme="minorEastAsia" w:cstheme="minorEastAsia"/>
                <w:color w:val="auto"/>
                <w:sz w:val="21"/>
                <w:szCs w:val="21"/>
                <w:highlight w:val="none"/>
                <w:lang w:val="zh-CN"/>
              </w:rPr>
              <w:t>028-</w:t>
            </w:r>
            <w:r>
              <w:rPr>
                <w:rFonts w:hint="eastAsia" w:asciiTheme="minorEastAsia" w:hAnsiTheme="minorEastAsia" w:eastAsiaTheme="minorEastAsia" w:cstheme="minorEastAsia"/>
                <w:color w:val="auto"/>
                <w:sz w:val="21"/>
                <w:szCs w:val="21"/>
                <w:highlight w:val="none"/>
              </w:rPr>
              <w:t>62053379</w:t>
            </w:r>
          </w:p>
          <w:p>
            <w:pPr>
              <w:pStyle w:val="7"/>
              <w:ind w:firstLine="0" w:firstLineChars="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邮箱：</w:t>
            </w:r>
            <w:r>
              <w:rPr>
                <w:rFonts w:hint="eastAsia" w:asciiTheme="minorEastAsia" w:hAnsiTheme="minorEastAsia" w:eastAsiaTheme="minorEastAsia" w:cstheme="minorEastAsia"/>
                <w:color w:val="auto"/>
                <w:sz w:val="21"/>
                <w:szCs w:val="21"/>
                <w:highlight w:val="none"/>
                <w:lang w:val="en-US" w:eastAsia="zh-CN"/>
              </w:rPr>
              <w:t>2201968249</w:t>
            </w:r>
            <w:r>
              <w:rPr>
                <w:rFonts w:hint="eastAsia" w:asciiTheme="minorEastAsia" w:hAnsiTheme="minorEastAsia" w:eastAsiaTheme="minorEastAsia" w:cstheme="minorEastAsia"/>
                <w:color w:val="auto"/>
                <w:sz w:val="21"/>
                <w:szCs w:val="21"/>
                <w:highlight w:val="none"/>
              </w:rPr>
              <w:t>@qq.com</w:t>
            </w:r>
          </w:p>
        </w:tc>
      </w:tr>
      <w:tr>
        <w:tblPrEx>
          <w:tblLayout w:type="fixed"/>
          <w:tblCellMar>
            <w:top w:w="0" w:type="dxa"/>
            <w:left w:w="108" w:type="dxa"/>
            <w:bottom w:w="0" w:type="dxa"/>
            <w:right w:w="108" w:type="dxa"/>
          </w:tblCellMar>
        </w:tblPrEx>
        <w:trPr>
          <w:trHeight w:val="392" w:hRule="atLeast"/>
        </w:trPr>
        <w:tc>
          <w:tcPr>
            <w:tcW w:w="2768" w:type="dxa"/>
            <w:tcBorders>
              <w:top w:val="dotted" w:color="000000" w:sz="4" w:space="0"/>
              <w:left w:val="dotted" w:color="000000" w:sz="4" w:space="0"/>
              <w:bottom w:val="dotted" w:color="000000" w:sz="4" w:space="0"/>
              <w:right w:val="dotted" w:color="000000" w:sz="4" w:space="0"/>
            </w:tcBorders>
          </w:tcPr>
          <w:p>
            <w:pPr>
              <w:pStyle w:val="7"/>
              <w:rPr>
                <w:rFonts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开户行：</w:t>
            </w:r>
          </w:p>
        </w:tc>
        <w:tc>
          <w:tcPr>
            <w:tcW w:w="6404" w:type="dxa"/>
            <w:tcBorders>
              <w:top w:val="dotted" w:color="000000" w:sz="4" w:space="0"/>
              <w:left w:val="nil"/>
              <w:bottom w:val="dotted" w:color="000000" w:sz="4" w:space="0"/>
              <w:right w:val="dotted" w:color="000000" w:sz="4" w:space="0"/>
            </w:tcBorders>
          </w:tcPr>
          <w:p>
            <w:pPr>
              <w:spacing w:line="360" w:lineRule="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中国民生银行股份有限公司成都分行</w:t>
            </w:r>
          </w:p>
        </w:tc>
      </w:tr>
      <w:tr>
        <w:tblPrEx>
          <w:tblLayout w:type="fixed"/>
          <w:tblCellMar>
            <w:top w:w="0" w:type="dxa"/>
            <w:left w:w="108" w:type="dxa"/>
            <w:bottom w:w="0" w:type="dxa"/>
            <w:right w:w="108" w:type="dxa"/>
          </w:tblCellMar>
        </w:tblPrEx>
        <w:trPr>
          <w:trHeight w:val="341" w:hRule="atLeast"/>
        </w:trPr>
        <w:tc>
          <w:tcPr>
            <w:tcW w:w="2768" w:type="dxa"/>
            <w:tcBorders>
              <w:top w:val="dotted" w:color="000000" w:sz="4" w:space="0"/>
              <w:left w:val="dotted" w:color="000000" w:sz="4" w:space="0"/>
              <w:bottom w:val="dotted" w:color="000000" w:sz="4" w:space="0"/>
              <w:right w:val="dotted" w:color="000000" w:sz="4" w:space="0"/>
            </w:tcBorders>
          </w:tcPr>
          <w:p>
            <w:pPr>
              <w:pStyle w:val="7"/>
              <w:rPr>
                <w:rFonts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账号：</w:t>
            </w:r>
          </w:p>
        </w:tc>
        <w:tc>
          <w:tcPr>
            <w:tcW w:w="6404" w:type="dxa"/>
            <w:tcBorders>
              <w:top w:val="dotted" w:color="000000" w:sz="4" w:space="0"/>
              <w:left w:val="nil"/>
              <w:bottom w:val="dotted" w:color="000000" w:sz="4" w:space="0"/>
              <w:right w:val="dotted" w:color="000000" w:sz="4" w:space="0"/>
            </w:tcBorders>
          </w:tcPr>
          <w:p>
            <w:pPr>
              <w:pStyle w:val="7"/>
              <w:ind w:firstLine="0" w:firstLineChars="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631502161</w:t>
            </w:r>
          </w:p>
        </w:tc>
      </w:tr>
      <w:tr>
        <w:tblPrEx>
          <w:tblLayout w:type="fixed"/>
          <w:tblCellMar>
            <w:top w:w="0" w:type="dxa"/>
            <w:left w:w="108" w:type="dxa"/>
            <w:bottom w:w="0" w:type="dxa"/>
            <w:right w:w="108" w:type="dxa"/>
          </w:tblCellMar>
        </w:tblPrEx>
        <w:trPr>
          <w:trHeight w:val="353" w:hRule="atLeast"/>
        </w:trPr>
        <w:tc>
          <w:tcPr>
            <w:tcW w:w="2768" w:type="dxa"/>
            <w:tcBorders>
              <w:top w:val="dotted" w:color="000000" w:sz="4" w:space="0"/>
              <w:left w:val="dotted" w:color="000000" w:sz="4" w:space="0"/>
              <w:bottom w:val="dotted" w:color="000000" w:sz="4" w:space="0"/>
              <w:right w:val="dotted" w:color="000000" w:sz="4" w:space="0"/>
            </w:tcBorders>
          </w:tcPr>
          <w:p>
            <w:pPr>
              <w:pStyle w:val="7"/>
              <w:rPr>
                <w:rFonts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缴费账户：</w:t>
            </w:r>
          </w:p>
        </w:tc>
        <w:tc>
          <w:tcPr>
            <w:tcW w:w="6404" w:type="dxa"/>
            <w:tcBorders>
              <w:top w:val="dotted" w:color="000000" w:sz="4" w:space="0"/>
              <w:left w:val="nil"/>
              <w:bottom w:val="dotted" w:color="000000" w:sz="4" w:space="0"/>
              <w:right w:val="dotted" w:color="000000" w:sz="4" w:space="0"/>
            </w:tcBorders>
          </w:tcPr>
          <w:p>
            <w:pPr>
              <w:pStyle w:val="7"/>
              <w:ind w:firstLine="0" w:firstLineChars="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zh-CN"/>
              </w:rPr>
              <w:t>四川恒鑫工程管理咨询有限公司成都高新分公司</w:t>
            </w:r>
          </w:p>
        </w:tc>
      </w:tr>
    </w:tbl>
    <w:p>
      <w:pPr>
        <w:spacing w:line="360" w:lineRule="auto"/>
        <w:ind w:firstLine="420" w:firstLineChars="200"/>
        <w:rPr>
          <w:rFonts w:hAnsi="宋体"/>
          <w:b w:val="0"/>
          <w:bCs w:val="0"/>
          <w:highlight w:val="none"/>
          <w:lang w:val="zh-CN"/>
        </w:rPr>
      </w:pPr>
      <w:r>
        <w:rPr>
          <w:rFonts w:hint="eastAsia" w:hAnsi="宋体"/>
          <w:b w:val="0"/>
          <w:bCs w:val="0"/>
          <w:highlight w:val="none"/>
          <w:lang w:val="en-US" w:eastAsia="zh-CN"/>
        </w:rPr>
        <w:t>4.5</w:t>
      </w:r>
      <w:r>
        <w:rPr>
          <w:rFonts w:hint="eastAsia" w:hAnsi="宋体"/>
          <w:b w:val="0"/>
          <w:bCs w:val="0"/>
          <w:highlight w:val="none"/>
        </w:rPr>
        <w:t xml:space="preserve"> 招标机构在收到上述合格资料后 2 日内将招标文件</w:t>
      </w:r>
      <w:r>
        <w:rPr>
          <w:rFonts w:hint="eastAsia" w:hAnsi="宋体"/>
          <w:b w:val="0"/>
          <w:bCs w:val="0"/>
          <w:highlight w:val="none"/>
          <w:lang w:eastAsia="zh-CN"/>
        </w:rPr>
        <w:t>电子</w:t>
      </w:r>
      <w:r>
        <w:rPr>
          <w:rFonts w:hint="eastAsia" w:hAnsi="宋体"/>
          <w:b w:val="0"/>
          <w:bCs w:val="0"/>
          <w:highlight w:val="none"/>
        </w:rPr>
        <w:t>版发送至“</w:t>
      </w:r>
      <w:r>
        <w:rPr>
          <w:rFonts w:hint="eastAsia" w:hAnsi="宋体"/>
          <w:b w:val="0"/>
          <w:bCs w:val="0"/>
          <w:szCs w:val="21"/>
          <w:highlight w:val="none"/>
        </w:rPr>
        <w:t>领取（购买）招标文件登记表”中登记的</w:t>
      </w:r>
      <w:r>
        <w:rPr>
          <w:rFonts w:hint="eastAsia" w:hAnsi="宋体"/>
          <w:b w:val="0"/>
          <w:bCs w:val="0"/>
          <w:highlight w:val="none"/>
        </w:rPr>
        <w:t>邮箱。由于潜在投标人不提供完整的报名信息及邮箱而未收到招标文件的，由购买人承担相关责任。</w:t>
      </w:r>
    </w:p>
    <w:p>
      <w:pPr>
        <w:spacing w:line="360" w:lineRule="auto"/>
        <w:ind w:firstLine="422" w:firstLineChars="200"/>
        <w:rPr>
          <w:rFonts w:hAnsi="宋体" w:cs="宋体"/>
          <w:b/>
          <w:szCs w:val="21"/>
          <w:highlight w:val="none"/>
          <w:lang w:val="zh-CN"/>
        </w:rPr>
      </w:pPr>
      <w:r>
        <w:rPr>
          <w:rFonts w:hint="eastAsia" w:hAnsi="宋体" w:cs="宋体"/>
          <w:b/>
          <w:szCs w:val="21"/>
          <w:highlight w:val="none"/>
          <w:lang w:val="zh-CN"/>
        </w:rPr>
        <w:t>五、投标文件的递交</w:t>
      </w:r>
    </w:p>
    <w:p>
      <w:pPr>
        <w:spacing w:beforeLines="50" w:afterLines="50" w:line="440" w:lineRule="exact"/>
        <w:ind w:firstLine="422" w:firstLineChars="200"/>
        <w:rPr>
          <w:rFonts w:hint="eastAsia" w:hAnsi="宋体" w:cs="宋体"/>
          <w:b/>
          <w:szCs w:val="21"/>
          <w:highlight w:val="none"/>
          <w:lang w:val="zh-CN"/>
        </w:rPr>
      </w:pPr>
      <w:r>
        <w:rPr>
          <w:rFonts w:hint="eastAsia" w:hAnsi="宋体" w:cs="宋体"/>
          <w:b/>
          <w:szCs w:val="21"/>
          <w:highlight w:val="none"/>
        </w:rPr>
        <w:t>5.</w:t>
      </w:r>
      <w:r>
        <w:rPr>
          <w:rFonts w:hint="eastAsia" w:hAnsi="宋体" w:cs="宋体"/>
          <w:b/>
          <w:szCs w:val="21"/>
          <w:highlight w:val="none"/>
          <w:lang w:val="zh-CN"/>
        </w:rPr>
        <w:t>1投标文件递交截止时间：</w:t>
      </w:r>
      <w:r>
        <w:rPr>
          <w:rFonts w:hint="eastAsia" w:hAnsi="宋体" w:cs="宋体"/>
          <w:b/>
          <w:szCs w:val="21"/>
          <w:highlight w:val="none"/>
        </w:rPr>
        <w:t>2020</w:t>
      </w:r>
      <w:r>
        <w:rPr>
          <w:rFonts w:hint="eastAsia" w:hAnsi="宋体" w:cs="宋体"/>
          <w:b/>
          <w:szCs w:val="21"/>
          <w:highlight w:val="none"/>
          <w:lang w:val="zh-CN"/>
        </w:rPr>
        <w:t>年</w:t>
      </w:r>
      <w:r>
        <w:rPr>
          <w:rFonts w:hint="eastAsia" w:hAnsi="宋体" w:cs="宋体"/>
          <w:b/>
          <w:szCs w:val="21"/>
          <w:highlight w:val="none"/>
        </w:rPr>
        <w:t xml:space="preserve">  </w:t>
      </w:r>
      <w:r>
        <w:rPr>
          <w:rFonts w:hint="eastAsia" w:hAnsi="宋体" w:cs="宋体"/>
          <w:b/>
          <w:szCs w:val="21"/>
          <w:highlight w:val="none"/>
          <w:lang w:val="en-US" w:eastAsia="zh-CN"/>
        </w:rPr>
        <w:t>9</w:t>
      </w:r>
      <w:r>
        <w:rPr>
          <w:rFonts w:hint="eastAsia" w:hAnsi="宋体" w:cs="宋体"/>
          <w:b/>
          <w:szCs w:val="21"/>
          <w:highlight w:val="none"/>
        </w:rPr>
        <w:t xml:space="preserve"> </w:t>
      </w:r>
      <w:r>
        <w:rPr>
          <w:rFonts w:hint="eastAsia" w:hAnsi="宋体" w:cs="宋体"/>
          <w:b/>
          <w:szCs w:val="21"/>
          <w:highlight w:val="none"/>
          <w:lang w:val="zh-CN"/>
        </w:rPr>
        <w:t>月</w:t>
      </w:r>
      <w:r>
        <w:rPr>
          <w:rFonts w:hint="eastAsia" w:hAnsi="宋体" w:cs="宋体"/>
          <w:b/>
          <w:szCs w:val="21"/>
          <w:highlight w:val="none"/>
          <w:lang w:val="en-US" w:eastAsia="zh-CN"/>
        </w:rPr>
        <w:t xml:space="preserve"> 23</w:t>
      </w:r>
      <w:r>
        <w:rPr>
          <w:rFonts w:hint="eastAsia" w:hAnsi="宋体" w:cs="宋体"/>
          <w:b/>
          <w:szCs w:val="21"/>
          <w:highlight w:val="none"/>
        </w:rPr>
        <w:t xml:space="preserve"> </w:t>
      </w:r>
      <w:r>
        <w:rPr>
          <w:rFonts w:hint="eastAsia" w:hAnsi="宋体" w:cs="宋体"/>
          <w:b/>
          <w:szCs w:val="21"/>
          <w:highlight w:val="none"/>
          <w:lang w:val="zh-CN"/>
        </w:rPr>
        <w:t>日</w:t>
      </w:r>
      <w:r>
        <w:rPr>
          <w:rFonts w:hint="eastAsia" w:hAnsi="宋体" w:cs="宋体"/>
          <w:b/>
          <w:szCs w:val="21"/>
          <w:highlight w:val="none"/>
          <w:lang w:val="en-US" w:eastAsia="zh-CN"/>
        </w:rPr>
        <w:t xml:space="preserve"> 10 </w:t>
      </w:r>
      <w:r>
        <w:rPr>
          <w:rFonts w:hint="eastAsia" w:hAnsi="宋体" w:cs="宋体"/>
          <w:b/>
          <w:szCs w:val="21"/>
          <w:highlight w:val="none"/>
          <w:lang w:val="zh-CN"/>
        </w:rPr>
        <w:t>时</w:t>
      </w:r>
      <w:r>
        <w:rPr>
          <w:rFonts w:hint="eastAsia" w:hAnsi="宋体" w:cs="宋体"/>
          <w:b/>
          <w:szCs w:val="21"/>
          <w:highlight w:val="none"/>
          <w:lang w:val="en-US" w:eastAsia="zh-CN"/>
        </w:rPr>
        <w:t xml:space="preserve"> 0</w:t>
      </w:r>
      <w:r>
        <w:rPr>
          <w:rFonts w:hint="eastAsia" w:hAnsi="宋体" w:cs="宋体"/>
          <w:b/>
          <w:szCs w:val="21"/>
          <w:highlight w:val="none"/>
        </w:rPr>
        <w:t>0</w:t>
      </w:r>
      <w:r>
        <w:rPr>
          <w:rFonts w:hint="eastAsia" w:hAnsi="宋体" w:cs="宋体"/>
          <w:b/>
          <w:szCs w:val="21"/>
          <w:highlight w:val="none"/>
          <w:lang w:val="en-US" w:eastAsia="zh-CN"/>
        </w:rPr>
        <w:t xml:space="preserve"> </w:t>
      </w:r>
      <w:r>
        <w:rPr>
          <w:rFonts w:hint="eastAsia" w:hAnsi="宋体" w:cs="宋体"/>
          <w:b/>
          <w:szCs w:val="21"/>
          <w:highlight w:val="none"/>
          <w:lang w:val="zh-CN"/>
        </w:rPr>
        <w:t>分，投标文件递交地点：四川恒鑫工程管理咨询有限公司（成都市高新区天府大道中段530号东方希望天祥广场B座44楼4401A）</w:t>
      </w:r>
      <w:r>
        <w:rPr>
          <w:rFonts w:hint="eastAsia" w:hAnsi="宋体" w:cs="宋体"/>
          <w:b/>
          <w:szCs w:val="21"/>
          <w:highlight w:val="none"/>
        </w:rPr>
        <w:t>。</w:t>
      </w:r>
    </w:p>
    <w:p>
      <w:pPr>
        <w:spacing w:beforeLines="50" w:afterLines="50" w:line="440" w:lineRule="exact"/>
        <w:ind w:firstLine="422" w:firstLineChars="200"/>
        <w:rPr>
          <w:rFonts w:hAnsi="宋体" w:cs="宋体"/>
          <w:b/>
          <w:szCs w:val="21"/>
          <w:highlight w:val="none"/>
        </w:rPr>
      </w:pPr>
      <w:r>
        <w:rPr>
          <w:rFonts w:hint="eastAsia" w:hAnsi="宋体" w:cs="宋体"/>
          <w:b/>
          <w:bCs/>
          <w:szCs w:val="21"/>
          <w:highlight w:val="none"/>
        </w:rPr>
        <w:t>5.2</w:t>
      </w:r>
      <w:r>
        <w:rPr>
          <w:rFonts w:hint="eastAsia" w:hAnsi="宋体" w:cs="宋体"/>
          <w:b/>
          <w:szCs w:val="21"/>
          <w:highlight w:val="none"/>
        </w:rPr>
        <w:t>投标人在递交投标文件时，由法定代表人递交的，应携带法定代表人身份证明原件和身份证原件；由委托代理人递交的，应提供法定代表人授权委托书原件和代理人身份证原件和投标人为其缴纳的养老保险（提供最近</w:t>
      </w:r>
      <w:r>
        <w:rPr>
          <w:rFonts w:hint="eastAsia" w:hAnsi="宋体" w:cs="宋体"/>
          <w:b/>
          <w:szCs w:val="21"/>
          <w:highlight w:val="none"/>
          <w:lang w:eastAsia="zh-CN"/>
        </w:rPr>
        <w:t>半年内</w:t>
      </w:r>
      <w:r>
        <w:rPr>
          <w:rFonts w:hint="eastAsia" w:hAnsi="宋体" w:cs="宋体"/>
          <w:b/>
          <w:szCs w:val="21"/>
          <w:highlight w:val="none"/>
        </w:rPr>
        <w:t>缴费证明）复印件。</w:t>
      </w:r>
    </w:p>
    <w:p>
      <w:pPr>
        <w:spacing w:line="440" w:lineRule="exact"/>
        <w:ind w:right="420" w:firstLine="369" w:firstLineChars="175"/>
        <w:rPr>
          <w:rFonts w:hAnsi="宋体" w:cs="宋体"/>
          <w:b/>
          <w:bCs/>
          <w:szCs w:val="21"/>
          <w:highlight w:val="none"/>
        </w:rPr>
      </w:pPr>
      <w:r>
        <w:rPr>
          <w:rFonts w:hint="eastAsia" w:hAnsi="宋体" w:cs="宋体"/>
          <w:b/>
          <w:bCs/>
          <w:szCs w:val="21"/>
          <w:highlight w:val="none"/>
        </w:rPr>
        <w:t>5.3具有下列情形之一的，招标人及招标代理机构将拒绝接受其投标文件：</w:t>
      </w:r>
    </w:p>
    <w:p>
      <w:pPr>
        <w:spacing w:line="440" w:lineRule="exact"/>
        <w:ind w:right="420" w:firstLine="369" w:firstLineChars="175"/>
        <w:rPr>
          <w:rFonts w:hAnsi="宋体" w:cs="宋体"/>
          <w:b/>
          <w:bCs/>
          <w:szCs w:val="21"/>
          <w:highlight w:val="none"/>
        </w:rPr>
      </w:pPr>
      <w:r>
        <w:rPr>
          <w:rFonts w:hint="eastAsia" w:hAnsi="宋体" w:cs="宋体"/>
          <w:b/>
          <w:bCs/>
          <w:szCs w:val="21"/>
          <w:highlight w:val="none"/>
        </w:rPr>
        <w:t>（1）投标文件密封破损；</w:t>
      </w:r>
    </w:p>
    <w:p>
      <w:pPr>
        <w:spacing w:line="440" w:lineRule="exact"/>
        <w:ind w:right="420" w:firstLine="369" w:firstLineChars="175"/>
        <w:rPr>
          <w:rFonts w:hAnsi="宋体" w:cs="宋体"/>
          <w:b/>
          <w:bCs/>
          <w:szCs w:val="21"/>
          <w:highlight w:val="none"/>
        </w:rPr>
      </w:pPr>
      <w:r>
        <w:rPr>
          <w:rFonts w:hint="eastAsia" w:hAnsi="宋体" w:cs="宋体"/>
          <w:b/>
          <w:bCs/>
          <w:szCs w:val="21"/>
          <w:highlight w:val="none"/>
        </w:rPr>
        <w:t>（2）逾期送达；</w:t>
      </w:r>
    </w:p>
    <w:p>
      <w:pPr>
        <w:spacing w:line="440" w:lineRule="exact"/>
        <w:ind w:right="420" w:firstLine="369" w:firstLineChars="175"/>
        <w:rPr>
          <w:rFonts w:hAnsi="宋体" w:cs="宋体"/>
          <w:b/>
          <w:bCs/>
          <w:szCs w:val="21"/>
          <w:highlight w:val="none"/>
        </w:rPr>
      </w:pPr>
      <w:r>
        <w:rPr>
          <w:rFonts w:hint="eastAsia" w:hAnsi="宋体" w:cs="宋体"/>
          <w:b/>
          <w:bCs/>
          <w:szCs w:val="21"/>
          <w:highlight w:val="none"/>
        </w:rPr>
        <w:t>（3）未送达指定地点；</w:t>
      </w:r>
    </w:p>
    <w:p>
      <w:pPr>
        <w:spacing w:line="440" w:lineRule="exact"/>
        <w:ind w:right="420" w:firstLine="369" w:firstLineChars="175"/>
        <w:rPr>
          <w:rFonts w:hAnsi="宋体" w:cs="宋体"/>
          <w:szCs w:val="21"/>
          <w:highlight w:val="none"/>
        </w:rPr>
      </w:pPr>
      <w:r>
        <w:rPr>
          <w:rFonts w:hint="eastAsia" w:hAnsi="宋体" w:cs="宋体"/>
          <w:b/>
          <w:bCs/>
          <w:szCs w:val="21"/>
          <w:highlight w:val="none"/>
        </w:rPr>
        <w:t>（4）未按照招标公告5.2条提交合格资料的。</w:t>
      </w:r>
    </w:p>
    <w:p>
      <w:pPr>
        <w:spacing w:line="360" w:lineRule="auto"/>
        <w:ind w:firstLine="420" w:firstLineChars="200"/>
        <w:rPr>
          <w:rFonts w:hAnsi="宋体" w:cs="宋体"/>
          <w:b/>
          <w:bCs/>
          <w:szCs w:val="21"/>
          <w:highlight w:val="none"/>
          <w:lang w:val="zh-CN"/>
        </w:rPr>
      </w:pPr>
      <w:r>
        <w:rPr>
          <w:rFonts w:hint="eastAsia" w:hAnsi="宋体" w:cs="宋体"/>
          <w:bCs/>
          <w:szCs w:val="21"/>
          <w:highlight w:val="none"/>
        </w:rPr>
        <w:t>5.4</w:t>
      </w:r>
      <w:r>
        <w:rPr>
          <w:rFonts w:hint="eastAsia" w:hAnsi="宋体" w:cs="宋体"/>
          <w:bCs/>
          <w:szCs w:val="21"/>
          <w:highlight w:val="none"/>
          <w:lang w:val="zh-CN"/>
        </w:rPr>
        <w:t>投标人在提交投标文件时，</w:t>
      </w:r>
      <w:r>
        <w:rPr>
          <w:rFonts w:hint="eastAsia" w:hAnsi="宋体" w:cs="宋体"/>
          <w:b/>
          <w:bCs w:val="0"/>
          <w:szCs w:val="21"/>
          <w:highlight w:val="none"/>
          <w:lang w:val="zh-CN"/>
        </w:rPr>
        <w:t>应提交</w:t>
      </w:r>
      <w:r>
        <w:rPr>
          <w:rFonts w:hint="eastAsia" w:hAnsi="宋体" w:cs="宋体"/>
          <w:b/>
          <w:bCs w:val="0"/>
          <w:szCs w:val="21"/>
          <w:highlight w:val="none"/>
          <w:u w:val="single"/>
          <w:lang w:val="zh-CN"/>
        </w:rPr>
        <w:t xml:space="preserve"> </w:t>
      </w:r>
      <w:r>
        <w:rPr>
          <w:rFonts w:hint="eastAsia" w:hAnsi="宋体" w:cs="宋体"/>
          <w:b/>
          <w:bCs w:val="0"/>
          <w:szCs w:val="21"/>
          <w:highlight w:val="none"/>
          <w:u w:val="single"/>
          <w:lang w:val="en-US" w:eastAsia="zh-CN"/>
        </w:rPr>
        <w:t>2</w:t>
      </w:r>
      <w:r>
        <w:rPr>
          <w:rFonts w:hint="eastAsia" w:hAnsi="宋体" w:cs="宋体"/>
          <w:b/>
          <w:bCs w:val="0"/>
          <w:szCs w:val="21"/>
          <w:highlight w:val="none"/>
          <w:u w:val="single"/>
        </w:rPr>
        <w:t xml:space="preserve"> </w:t>
      </w:r>
      <w:r>
        <w:rPr>
          <w:rFonts w:hint="eastAsia" w:hAnsi="宋体" w:cs="宋体"/>
          <w:b/>
          <w:bCs w:val="0"/>
          <w:szCs w:val="21"/>
          <w:highlight w:val="none"/>
          <w:lang w:val="zh-CN"/>
        </w:rPr>
        <w:t>万元人民币（大写：</w:t>
      </w:r>
      <w:r>
        <w:rPr>
          <w:rFonts w:hint="eastAsia" w:hAnsi="宋体" w:cs="宋体"/>
          <w:b/>
          <w:bCs w:val="0"/>
          <w:szCs w:val="21"/>
          <w:highlight w:val="none"/>
          <w:lang w:eastAsia="zh-CN"/>
        </w:rPr>
        <w:t>贰</w:t>
      </w:r>
      <w:r>
        <w:rPr>
          <w:rFonts w:hint="eastAsia" w:hAnsi="宋体" w:cs="宋体"/>
          <w:b/>
          <w:bCs w:val="0"/>
          <w:szCs w:val="21"/>
          <w:highlight w:val="none"/>
          <w:lang w:val="zh-CN"/>
        </w:rPr>
        <w:t>万元人民币）的投标保证金</w:t>
      </w:r>
      <w:r>
        <w:rPr>
          <w:rFonts w:hint="eastAsia" w:hAnsi="宋体" w:cs="宋体"/>
          <w:bCs/>
          <w:szCs w:val="21"/>
          <w:highlight w:val="none"/>
          <w:lang w:val="zh-CN"/>
        </w:rPr>
        <w:t>，由</w:t>
      </w:r>
      <w:r>
        <w:rPr>
          <w:rFonts w:hint="eastAsia" w:hAnsi="宋体" w:cs="宋体"/>
          <w:bCs/>
          <w:szCs w:val="21"/>
          <w:highlight w:val="none"/>
          <w:lang w:val="zh-CN" w:eastAsia="zh-CN"/>
        </w:rPr>
        <w:t>招标机构</w:t>
      </w:r>
      <w:r>
        <w:rPr>
          <w:rFonts w:hint="eastAsia" w:hAnsi="宋体" w:cs="宋体"/>
          <w:bCs/>
          <w:szCs w:val="21"/>
          <w:highlight w:val="none"/>
          <w:lang w:val="zh-CN"/>
        </w:rPr>
        <w:t>“四川恒鑫工程管理咨询有限公司”代收，缴纳方式为从投标人基本账户转账支付到以下指定账户。</w:t>
      </w:r>
    </w:p>
    <w:p>
      <w:pPr>
        <w:spacing w:line="560" w:lineRule="exact"/>
        <w:ind w:firstLine="422" w:firstLineChars="200"/>
        <w:rPr>
          <w:rFonts w:hint="default" w:hAnsi="宋体" w:eastAsia="宋体" w:cs="宋体"/>
          <w:b/>
          <w:bCs/>
          <w:szCs w:val="21"/>
          <w:highlight w:val="none"/>
          <w:lang w:val="en-US" w:eastAsia="zh-CN"/>
        </w:rPr>
      </w:pPr>
      <w:r>
        <w:rPr>
          <w:rFonts w:hint="eastAsia" w:hAnsi="宋体" w:cs="宋体"/>
          <w:b/>
          <w:bCs/>
          <w:szCs w:val="21"/>
          <w:highlight w:val="none"/>
          <w:lang w:val="zh-CN"/>
        </w:rPr>
        <w:t>开户银行：</w:t>
      </w:r>
      <w:r>
        <w:rPr>
          <w:rFonts w:hint="eastAsia" w:hAnsi="宋体" w:cs="宋体"/>
          <w:spacing w:val="-4"/>
          <w:szCs w:val="21"/>
          <w:highlight w:val="none"/>
        </w:rPr>
        <w:t>四川恒鑫工程管理咨询有限公司成都高新分公司</w:t>
      </w:r>
      <w:r>
        <w:rPr>
          <w:rFonts w:hint="eastAsia" w:hAnsi="宋体" w:cs="宋体"/>
          <w:spacing w:val="-4"/>
          <w:szCs w:val="21"/>
          <w:highlight w:val="none"/>
          <w:lang w:val="en-US" w:eastAsia="zh-CN"/>
        </w:rPr>
        <w:t xml:space="preserve">  </w:t>
      </w:r>
    </w:p>
    <w:p>
      <w:pPr>
        <w:spacing w:line="560" w:lineRule="exact"/>
        <w:ind w:firstLine="422" w:firstLineChars="200"/>
        <w:rPr>
          <w:rFonts w:hAnsi="宋体" w:cs="宋体"/>
          <w:b/>
          <w:bCs/>
          <w:szCs w:val="21"/>
          <w:highlight w:val="none"/>
          <w:lang w:val="zh-CN"/>
        </w:rPr>
      </w:pPr>
      <w:r>
        <w:rPr>
          <w:rFonts w:hint="eastAsia" w:hAnsi="宋体" w:cs="宋体"/>
          <w:b/>
          <w:bCs/>
          <w:szCs w:val="21"/>
          <w:highlight w:val="none"/>
          <w:lang w:val="zh-CN"/>
        </w:rPr>
        <w:t>账 户 名：</w:t>
      </w:r>
      <w:r>
        <w:rPr>
          <w:rFonts w:hint="eastAsia" w:hAnsi="宋体"/>
          <w:szCs w:val="21"/>
          <w:highlight w:val="none"/>
        </w:rPr>
        <w:t>中国民生银行股份有限公司成都分行</w:t>
      </w:r>
    </w:p>
    <w:p>
      <w:pPr>
        <w:spacing w:line="560" w:lineRule="exact"/>
        <w:ind w:firstLine="422" w:firstLineChars="200"/>
        <w:rPr>
          <w:rFonts w:hAnsi="宋体" w:cs="宋体"/>
          <w:b/>
          <w:bCs/>
          <w:szCs w:val="21"/>
          <w:highlight w:val="none"/>
          <w:lang w:val="zh-CN"/>
        </w:rPr>
      </w:pPr>
      <w:r>
        <w:rPr>
          <w:rFonts w:hint="eastAsia" w:hAnsi="宋体" w:cs="宋体"/>
          <w:b/>
          <w:bCs/>
          <w:szCs w:val="21"/>
          <w:highlight w:val="none"/>
          <w:lang w:val="zh-CN"/>
        </w:rPr>
        <w:t>账    号：</w:t>
      </w:r>
      <w:r>
        <w:rPr>
          <w:rFonts w:hint="eastAsia" w:hAnsi="宋体" w:cs="宋体"/>
          <w:bCs/>
          <w:szCs w:val="21"/>
          <w:highlight w:val="none"/>
        </w:rPr>
        <w:t>631502161</w:t>
      </w:r>
    </w:p>
    <w:p>
      <w:pPr>
        <w:spacing w:line="360" w:lineRule="auto"/>
        <w:ind w:firstLine="422" w:firstLineChars="200"/>
        <w:rPr>
          <w:rFonts w:hAnsi="宋体" w:cs="宋体"/>
          <w:szCs w:val="21"/>
          <w:highlight w:val="none"/>
        </w:rPr>
      </w:pPr>
      <w:r>
        <w:rPr>
          <w:rFonts w:hint="eastAsia" w:hAnsi="宋体" w:cs="宋体"/>
          <w:b/>
          <w:bCs/>
          <w:color w:val="auto"/>
          <w:szCs w:val="21"/>
          <w:highlight w:val="none"/>
          <w:lang w:val="zh-CN"/>
        </w:rPr>
        <w:t xml:space="preserve">投标保证金联系人： </w:t>
      </w:r>
      <w:r>
        <w:rPr>
          <w:rFonts w:hint="eastAsia" w:hAnsi="宋体" w:cs="宋体"/>
          <w:bCs/>
          <w:color w:val="auto"/>
          <w:szCs w:val="21"/>
          <w:highlight w:val="none"/>
          <w:lang w:eastAsia="zh-CN"/>
        </w:rPr>
        <w:t>王女士</w:t>
      </w:r>
      <w:r>
        <w:rPr>
          <w:rFonts w:hint="eastAsia" w:hAnsi="宋体" w:cs="宋体"/>
          <w:b/>
          <w:bCs/>
          <w:color w:val="auto"/>
          <w:szCs w:val="21"/>
          <w:highlight w:val="none"/>
          <w:lang w:val="zh-CN"/>
        </w:rPr>
        <w:t xml:space="preserve">           联系电话：</w:t>
      </w:r>
      <w:r>
        <w:rPr>
          <w:rFonts w:hint="eastAsia" w:hAnsi="宋体" w:cs="宋体"/>
          <w:bCs/>
          <w:color w:val="auto"/>
          <w:szCs w:val="21"/>
          <w:highlight w:val="none"/>
        </w:rPr>
        <w:t>028-62053379</w:t>
      </w:r>
    </w:p>
    <w:p>
      <w:pPr>
        <w:spacing w:line="360" w:lineRule="auto"/>
        <w:ind w:firstLine="420" w:firstLineChars="200"/>
        <w:rPr>
          <w:rFonts w:hAnsi="宋体" w:cs="宋体"/>
          <w:szCs w:val="21"/>
          <w:highlight w:val="none"/>
        </w:rPr>
      </w:pPr>
      <w:r>
        <w:rPr>
          <w:rFonts w:hint="eastAsia" w:hAnsi="宋体" w:cs="宋体"/>
          <w:szCs w:val="21"/>
          <w:highlight w:val="none"/>
        </w:rPr>
        <w:t>投标人转账缴纳投标保证金时应注明“125MPa试压泵物资采购投标保证金”</w:t>
      </w:r>
    </w:p>
    <w:p>
      <w:pPr>
        <w:spacing w:line="360" w:lineRule="auto"/>
        <w:ind w:firstLine="422" w:firstLineChars="200"/>
        <w:rPr>
          <w:rFonts w:hAnsi="宋体" w:cs="宋体"/>
          <w:b/>
          <w:szCs w:val="21"/>
          <w:highlight w:val="none"/>
        </w:rPr>
      </w:pPr>
      <w:r>
        <w:rPr>
          <w:rFonts w:hint="eastAsia" w:hAnsi="宋体" w:cs="宋体"/>
          <w:b/>
          <w:szCs w:val="21"/>
          <w:highlight w:val="none"/>
          <w:lang w:val="zh-CN"/>
        </w:rPr>
        <w:t>六、发布公告的媒体</w:t>
      </w:r>
    </w:p>
    <w:p>
      <w:pPr>
        <w:spacing w:line="360" w:lineRule="auto"/>
        <w:ind w:firstLine="420" w:firstLineChars="200"/>
        <w:rPr>
          <w:rFonts w:hAnsi="宋体" w:cs="宋体"/>
          <w:bCs/>
          <w:szCs w:val="21"/>
          <w:highlight w:val="none"/>
        </w:rPr>
      </w:pPr>
      <w:r>
        <w:rPr>
          <w:rFonts w:hint="eastAsia" w:hAnsi="宋体" w:cs="宋体"/>
          <w:bCs/>
          <w:szCs w:val="21"/>
          <w:highlight w:val="none"/>
          <w:lang w:val="zh-CN"/>
        </w:rPr>
        <w:t>本次招标公告</w:t>
      </w:r>
      <w:r>
        <w:rPr>
          <w:rFonts w:hint="eastAsia"/>
          <w:szCs w:val="21"/>
          <w:highlight w:val="none"/>
        </w:rPr>
        <w:t>同时在中国石油招标投标网</w:t>
      </w:r>
      <w:r>
        <w:rPr>
          <w:rStyle w:val="4"/>
          <w:rFonts w:hint="eastAsia"/>
          <w:color w:val="auto"/>
          <w:sz w:val="21"/>
          <w:szCs w:val="21"/>
          <w:highlight w:val="none"/>
        </w:rPr>
        <w:t>(</w:t>
      </w:r>
      <w:r>
        <w:rPr>
          <w:rStyle w:val="4"/>
          <w:color w:val="auto"/>
          <w:sz w:val="21"/>
          <w:szCs w:val="21"/>
          <w:highlight w:val="none"/>
        </w:rPr>
        <w:t>http://www.cnpcbidding.com/wps/portal/ebid</w:t>
      </w:r>
      <w:r>
        <w:rPr>
          <w:rStyle w:val="4"/>
          <w:rFonts w:hint="eastAsia"/>
          <w:color w:val="auto"/>
          <w:sz w:val="21"/>
          <w:szCs w:val="21"/>
          <w:highlight w:val="none"/>
        </w:rPr>
        <w:t>）、</w:t>
      </w:r>
      <w:r>
        <w:rPr>
          <w:rFonts w:hint="eastAsia"/>
          <w:szCs w:val="21"/>
          <w:highlight w:val="none"/>
        </w:rPr>
        <w:t>和</w:t>
      </w:r>
      <w:r>
        <w:rPr>
          <w:rFonts w:hint="eastAsia" w:hAnsi="宋体" w:cs="宋体"/>
          <w:szCs w:val="21"/>
          <w:highlight w:val="none"/>
        </w:rPr>
        <w:t>中国招标投标公共服务平台（http://www.cebpubservice.com）</w:t>
      </w:r>
      <w:r>
        <w:rPr>
          <w:rFonts w:hint="eastAsia"/>
          <w:szCs w:val="21"/>
          <w:highlight w:val="none"/>
        </w:rPr>
        <w:t>上公布</w:t>
      </w:r>
      <w:r>
        <w:rPr>
          <w:rFonts w:hint="eastAsia" w:hAnsi="宋体" w:cs="宋体"/>
          <w:bCs/>
          <w:szCs w:val="21"/>
          <w:highlight w:val="none"/>
          <w:lang w:val="zh-CN"/>
        </w:rPr>
        <w:t>。</w:t>
      </w:r>
    </w:p>
    <w:p>
      <w:pPr>
        <w:spacing w:line="360" w:lineRule="auto"/>
        <w:ind w:firstLine="422" w:firstLineChars="200"/>
        <w:rPr>
          <w:rFonts w:hAnsi="宋体" w:cs="宋体"/>
          <w:b/>
          <w:color w:val="auto"/>
          <w:szCs w:val="21"/>
          <w:highlight w:val="none"/>
          <w:lang w:val="zh-CN"/>
        </w:rPr>
      </w:pPr>
      <w:bookmarkStart w:id="2" w:name="_Toc309657837"/>
      <w:r>
        <w:rPr>
          <w:rFonts w:hint="eastAsia" w:hAnsi="宋体" w:cs="宋体"/>
          <w:b/>
          <w:color w:val="auto"/>
          <w:szCs w:val="21"/>
          <w:highlight w:val="none"/>
          <w:lang w:val="zh-CN"/>
        </w:rPr>
        <w:t>七、开标</w:t>
      </w:r>
      <w:bookmarkEnd w:id="2"/>
    </w:p>
    <w:p>
      <w:pPr>
        <w:spacing w:line="360" w:lineRule="auto"/>
        <w:ind w:firstLine="422" w:firstLineChars="200"/>
        <w:rPr>
          <w:rFonts w:hAnsi="宋体" w:cs="宋体"/>
          <w:bCs/>
          <w:color w:val="auto"/>
          <w:szCs w:val="21"/>
          <w:highlight w:val="none"/>
          <w:lang w:val="zh-CN"/>
        </w:rPr>
      </w:pPr>
      <w:r>
        <w:rPr>
          <w:rFonts w:hint="eastAsia" w:hAnsi="宋体" w:cs="宋体"/>
          <w:b/>
          <w:bCs w:val="0"/>
          <w:color w:val="auto"/>
          <w:szCs w:val="21"/>
          <w:highlight w:val="none"/>
          <w:lang w:val="zh-CN"/>
        </w:rPr>
        <w:t>开标时间：</w:t>
      </w:r>
      <w:r>
        <w:rPr>
          <w:rFonts w:hint="eastAsia" w:hAnsi="宋体" w:cs="宋体"/>
          <w:b/>
          <w:bCs w:val="0"/>
          <w:color w:val="auto"/>
          <w:szCs w:val="21"/>
          <w:highlight w:val="none"/>
          <w:u w:val="single"/>
        </w:rPr>
        <w:t>20</w:t>
      </w:r>
      <w:r>
        <w:rPr>
          <w:rFonts w:hint="eastAsia" w:hAnsi="宋体" w:cs="宋体"/>
          <w:b/>
          <w:bCs w:val="0"/>
          <w:color w:val="auto"/>
          <w:szCs w:val="21"/>
          <w:highlight w:val="none"/>
          <w:u w:val="single"/>
          <w:lang w:val="en-US" w:eastAsia="zh-CN"/>
        </w:rPr>
        <w:t>20</w:t>
      </w:r>
      <w:r>
        <w:rPr>
          <w:rFonts w:hint="eastAsia" w:hAnsi="宋体" w:cs="宋体"/>
          <w:b/>
          <w:bCs w:val="0"/>
          <w:color w:val="auto"/>
          <w:szCs w:val="21"/>
          <w:highlight w:val="none"/>
          <w:lang w:val="zh-CN"/>
        </w:rPr>
        <w:t>年</w:t>
      </w:r>
      <w:r>
        <w:rPr>
          <w:rFonts w:hint="eastAsia" w:hAnsi="宋体" w:cs="宋体"/>
          <w:b/>
          <w:bCs w:val="0"/>
          <w:color w:val="auto"/>
          <w:szCs w:val="21"/>
          <w:highlight w:val="none"/>
          <w:u w:val="single"/>
        </w:rPr>
        <w:t xml:space="preserve"> </w:t>
      </w:r>
      <w:r>
        <w:rPr>
          <w:rFonts w:hint="eastAsia" w:hAnsi="宋体" w:cs="宋体"/>
          <w:b/>
          <w:bCs w:val="0"/>
          <w:color w:val="auto"/>
          <w:szCs w:val="21"/>
          <w:highlight w:val="none"/>
          <w:u w:val="single"/>
          <w:lang w:val="en-US" w:eastAsia="zh-CN"/>
        </w:rPr>
        <w:t>9</w:t>
      </w:r>
      <w:r>
        <w:rPr>
          <w:rFonts w:hint="eastAsia" w:hAnsi="宋体" w:cs="宋体"/>
          <w:b/>
          <w:bCs w:val="0"/>
          <w:color w:val="auto"/>
          <w:szCs w:val="21"/>
          <w:highlight w:val="none"/>
          <w:u w:val="single"/>
        </w:rPr>
        <w:t xml:space="preserve"> </w:t>
      </w:r>
      <w:r>
        <w:rPr>
          <w:rFonts w:hint="eastAsia" w:hAnsi="宋体" w:cs="宋体"/>
          <w:b/>
          <w:bCs w:val="0"/>
          <w:color w:val="auto"/>
          <w:szCs w:val="21"/>
          <w:highlight w:val="none"/>
          <w:lang w:val="zh-CN"/>
        </w:rPr>
        <w:t>月</w:t>
      </w:r>
      <w:r>
        <w:rPr>
          <w:rFonts w:hint="eastAsia" w:hAnsi="宋体" w:cs="宋体"/>
          <w:b/>
          <w:bCs w:val="0"/>
          <w:color w:val="auto"/>
          <w:szCs w:val="21"/>
          <w:highlight w:val="none"/>
          <w:u w:val="single"/>
        </w:rPr>
        <w:t xml:space="preserve"> </w:t>
      </w:r>
      <w:r>
        <w:rPr>
          <w:rFonts w:hint="eastAsia" w:hAnsi="宋体" w:cs="宋体"/>
          <w:b/>
          <w:bCs w:val="0"/>
          <w:color w:val="auto"/>
          <w:szCs w:val="21"/>
          <w:highlight w:val="none"/>
          <w:u w:val="single"/>
          <w:lang w:val="en-US" w:eastAsia="zh-CN"/>
        </w:rPr>
        <w:t>23</w:t>
      </w:r>
      <w:r>
        <w:rPr>
          <w:rFonts w:hint="eastAsia" w:hAnsi="宋体" w:cs="宋体"/>
          <w:b/>
          <w:bCs w:val="0"/>
          <w:color w:val="auto"/>
          <w:szCs w:val="21"/>
          <w:highlight w:val="none"/>
          <w:u w:val="single"/>
        </w:rPr>
        <w:t xml:space="preserve"> </w:t>
      </w:r>
      <w:r>
        <w:rPr>
          <w:rFonts w:hint="eastAsia" w:hAnsi="宋体" w:cs="宋体"/>
          <w:b/>
          <w:bCs w:val="0"/>
          <w:color w:val="auto"/>
          <w:szCs w:val="21"/>
          <w:highlight w:val="none"/>
          <w:lang w:val="zh-CN"/>
        </w:rPr>
        <w:t>日</w:t>
      </w:r>
      <w:r>
        <w:rPr>
          <w:rFonts w:hint="eastAsia" w:hAnsi="宋体" w:cs="宋体"/>
          <w:b/>
          <w:bCs w:val="0"/>
          <w:color w:val="auto"/>
          <w:szCs w:val="21"/>
          <w:highlight w:val="none"/>
          <w:u w:val="single"/>
          <w:lang w:val="en-US" w:eastAsia="zh-CN"/>
        </w:rPr>
        <w:t>10</w:t>
      </w:r>
      <w:r>
        <w:rPr>
          <w:rFonts w:hint="eastAsia" w:hAnsi="宋体" w:cs="宋体"/>
          <w:b/>
          <w:bCs w:val="0"/>
          <w:color w:val="auto"/>
          <w:szCs w:val="21"/>
          <w:highlight w:val="none"/>
          <w:lang w:val="zh-CN"/>
        </w:rPr>
        <w:t>时</w:t>
      </w:r>
      <w:r>
        <w:rPr>
          <w:rFonts w:hint="eastAsia" w:hAnsi="宋体" w:cs="宋体"/>
          <w:b/>
          <w:bCs w:val="0"/>
          <w:color w:val="auto"/>
          <w:szCs w:val="21"/>
          <w:highlight w:val="none"/>
          <w:u w:val="single"/>
          <w:lang w:val="en-US" w:eastAsia="zh-CN"/>
        </w:rPr>
        <w:t>0</w:t>
      </w:r>
      <w:r>
        <w:rPr>
          <w:rFonts w:hint="eastAsia" w:hAnsi="宋体" w:cs="宋体"/>
          <w:b/>
          <w:bCs w:val="0"/>
          <w:color w:val="auto"/>
          <w:szCs w:val="21"/>
          <w:highlight w:val="none"/>
          <w:u w:val="single"/>
        </w:rPr>
        <w:t>0</w:t>
      </w:r>
      <w:r>
        <w:rPr>
          <w:rFonts w:hint="eastAsia" w:hAnsi="宋体" w:cs="宋体"/>
          <w:b/>
          <w:bCs w:val="0"/>
          <w:color w:val="auto"/>
          <w:szCs w:val="21"/>
          <w:highlight w:val="none"/>
          <w:lang w:val="zh-CN"/>
        </w:rPr>
        <w:t>分（北京时间）；</w:t>
      </w:r>
    </w:p>
    <w:p>
      <w:pPr>
        <w:spacing w:line="360" w:lineRule="auto"/>
        <w:ind w:firstLine="420" w:firstLineChars="200"/>
        <w:rPr>
          <w:rFonts w:hAnsi="宋体" w:cs="宋体"/>
          <w:bCs/>
          <w:color w:val="auto"/>
          <w:szCs w:val="21"/>
          <w:lang w:val="zh-CN"/>
        </w:rPr>
      </w:pPr>
      <w:r>
        <w:rPr>
          <w:rFonts w:hint="eastAsia" w:hAnsi="宋体" w:cs="宋体"/>
          <w:bCs/>
          <w:color w:val="auto"/>
          <w:szCs w:val="21"/>
          <w:highlight w:val="none"/>
          <w:lang w:val="zh-CN"/>
        </w:rPr>
        <w:t>开标地点：</w:t>
      </w:r>
      <w:r>
        <w:rPr>
          <w:rFonts w:hint="eastAsia" w:cs="宋体"/>
          <w:color w:val="auto"/>
          <w:highlight w:val="none"/>
          <w:u w:val="single"/>
        </w:rPr>
        <w:t>四川恒鑫工程管理咨询有限公司（成都市高新区天府大</w:t>
      </w:r>
      <w:r>
        <w:rPr>
          <w:rFonts w:hint="eastAsia" w:cs="宋体"/>
          <w:color w:val="auto"/>
          <w:u w:val="single"/>
        </w:rPr>
        <w:t>道中段530号东方希望天祥广场B座44楼4401A）</w:t>
      </w:r>
      <w:r>
        <w:rPr>
          <w:rFonts w:hint="eastAsia" w:hAnsi="宋体" w:cs="宋体"/>
          <w:bCs/>
          <w:color w:val="auto"/>
          <w:szCs w:val="21"/>
          <w:lang w:val="zh-CN"/>
        </w:rPr>
        <w:t xml:space="preserve">。 </w:t>
      </w:r>
    </w:p>
    <w:p>
      <w:pPr>
        <w:pStyle w:val="8"/>
        <w:keepNext/>
        <w:ind w:firstLine="422"/>
        <w:outlineLvl w:val="9"/>
        <w:rPr>
          <w:rFonts w:cs="宋体"/>
          <w:color w:val="auto"/>
        </w:rPr>
      </w:pPr>
      <w:bookmarkStart w:id="3" w:name="_Toc477356126"/>
      <w:bookmarkStart w:id="4" w:name="_Toc477348092"/>
      <w:bookmarkStart w:id="5" w:name="_Toc9304"/>
      <w:r>
        <w:rPr>
          <w:rFonts w:hint="eastAsia" w:cs="宋体"/>
          <w:color w:val="auto"/>
        </w:rPr>
        <w:t>八、 中标后签约单位</w:t>
      </w:r>
      <w:bookmarkEnd w:id="3"/>
      <w:bookmarkEnd w:id="4"/>
      <w:bookmarkEnd w:id="5"/>
    </w:p>
    <w:p>
      <w:pPr>
        <w:snapToGrid w:val="0"/>
        <w:spacing w:line="440" w:lineRule="exact"/>
        <w:ind w:firstLine="420" w:firstLineChars="200"/>
        <w:rPr>
          <w:rFonts w:hAnsi="宋体" w:cs="宋体"/>
          <w:szCs w:val="21"/>
          <w:lang w:val="zh-CN"/>
        </w:rPr>
      </w:pPr>
      <w:r>
        <w:rPr>
          <w:rFonts w:hint="eastAsia" w:hAnsi="宋体" w:cs="宋体"/>
          <w:szCs w:val="21"/>
          <w:lang w:val="zh-CN"/>
        </w:rPr>
        <w:t>中标供应商按通知与</w:t>
      </w:r>
      <w:r>
        <w:rPr>
          <w:rFonts w:hint="eastAsia" w:hAnsi="宋体" w:cs="宋体"/>
        </w:rPr>
        <w:t>中国石油集团川庆钻探工程有限公司试修公司</w:t>
      </w:r>
      <w:r>
        <w:rPr>
          <w:rFonts w:hint="eastAsia" w:hAnsi="宋体" w:cs="宋体"/>
          <w:szCs w:val="21"/>
          <w:lang w:val="zh-CN"/>
        </w:rPr>
        <w:t>签订合同。</w:t>
      </w:r>
    </w:p>
    <w:p>
      <w:pPr>
        <w:snapToGrid w:val="0"/>
        <w:spacing w:line="440" w:lineRule="exact"/>
        <w:ind w:firstLine="420" w:firstLineChars="200"/>
        <w:rPr>
          <w:rFonts w:hAnsi="宋体" w:cs="宋体"/>
          <w:color w:val="auto"/>
          <w:szCs w:val="21"/>
        </w:rPr>
      </w:pPr>
      <w:r>
        <w:rPr>
          <w:rFonts w:hint="eastAsia" w:hAnsi="宋体" w:cs="宋体"/>
          <w:color w:val="auto"/>
          <w:szCs w:val="21"/>
          <w:lang w:val="zh-CN"/>
        </w:rPr>
        <w:t>联系人：陶女士     联系电话：</w:t>
      </w:r>
      <w:r>
        <w:rPr>
          <w:rFonts w:hint="eastAsia" w:hAnsi="宋体" w:cs="宋体"/>
          <w:color w:val="auto"/>
          <w:szCs w:val="21"/>
        </w:rPr>
        <w:t>028-86017202</w:t>
      </w:r>
    </w:p>
    <w:p>
      <w:pPr>
        <w:snapToGrid w:val="0"/>
        <w:spacing w:line="440" w:lineRule="exact"/>
        <w:ind w:firstLine="422" w:firstLineChars="200"/>
        <w:rPr>
          <w:rFonts w:hAnsi="宋体" w:cs="宋体"/>
          <w:b/>
          <w:bCs/>
        </w:rPr>
      </w:pPr>
      <w:r>
        <w:rPr>
          <w:rFonts w:hint="eastAsia" w:hAnsi="宋体" w:cs="宋体"/>
          <w:b/>
          <w:bCs/>
        </w:rPr>
        <w:t xml:space="preserve">九、联系方式 </w:t>
      </w:r>
    </w:p>
    <w:tbl>
      <w:tblPr>
        <w:tblStyle w:val="5"/>
        <w:tblW w:w="8519" w:type="dxa"/>
        <w:jc w:val="center"/>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2971"/>
        <w:gridCol w:w="1129"/>
        <w:gridCol w:w="3311"/>
      </w:tblGrid>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57" w:hRule="atLeast"/>
          <w:jc w:val="center"/>
        </w:trPr>
        <w:tc>
          <w:tcPr>
            <w:tcW w:w="110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招标人：</w:t>
            </w:r>
          </w:p>
        </w:tc>
        <w:tc>
          <w:tcPr>
            <w:tcW w:w="297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中国石油集团川庆钻探工程有限公司</w:t>
            </w:r>
            <w:r>
              <w:rPr>
                <w:rFonts w:hint="eastAsia" w:ascii="宋体" w:hAnsi="宋体" w:cs="宋体"/>
                <w:color w:val="auto"/>
                <w:highlight w:val="none"/>
                <w:lang w:eastAsia="zh-CN"/>
              </w:rPr>
              <w:t>试修公司</w:t>
            </w:r>
          </w:p>
        </w:tc>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szCs w:val="21"/>
                <w:highlight w:val="none"/>
                <w:lang w:val="zh-CN"/>
              </w:rPr>
              <w:t>招标机构：</w:t>
            </w:r>
          </w:p>
        </w:tc>
        <w:tc>
          <w:tcPr>
            <w:tcW w:w="331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四川恒鑫工程管理咨询有限公司</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57" w:hRule="atLeast"/>
          <w:jc w:val="center"/>
        </w:trPr>
        <w:tc>
          <w:tcPr>
            <w:tcW w:w="110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地址：</w:t>
            </w:r>
          </w:p>
        </w:tc>
        <w:tc>
          <w:tcPr>
            <w:tcW w:w="297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四川省成都市成华区建设北路二段</w:t>
            </w:r>
            <w:r>
              <w:rPr>
                <w:rFonts w:hint="eastAsia" w:ascii="宋体" w:hAnsi="宋体" w:cs="宋体"/>
                <w:color w:val="auto"/>
                <w:highlight w:val="none"/>
                <w:lang w:val="en-US" w:eastAsia="zh-CN"/>
              </w:rPr>
              <w:t>9</w:t>
            </w:r>
            <w:r>
              <w:rPr>
                <w:rFonts w:hint="eastAsia" w:ascii="宋体" w:hAnsi="宋体" w:cs="宋体"/>
                <w:color w:val="auto"/>
                <w:highlight w:val="none"/>
              </w:rPr>
              <w:t>号</w:t>
            </w:r>
          </w:p>
        </w:tc>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地址：</w:t>
            </w:r>
          </w:p>
        </w:tc>
        <w:tc>
          <w:tcPr>
            <w:tcW w:w="331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成都市高新区天府大道中段530号东方希望天祥广场B座44楼4401A</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7" w:hRule="atLeast"/>
          <w:jc w:val="center"/>
        </w:trPr>
        <w:tc>
          <w:tcPr>
            <w:tcW w:w="110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邮编：</w:t>
            </w:r>
          </w:p>
        </w:tc>
        <w:tc>
          <w:tcPr>
            <w:tcW w:w="297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szCs w:val="21"/>
                <w:highlight w:val="none"/>
              </w:rPr>
              <w:t>61</w:t>
            </w:r>
            <w:r>
              <w:rPr>
                <w:rFonts w:hint="eastAsia" w:ascii="宋体" w:hAnsi="宋体" w:cs="宋体"/>
                <w:color w:val="auto"/>
                <w:szCs w:val="21"/>
                <w:highlight w:val="none"/>
                <w:lang w:val="en-US" w:eastAsia="zh-CN"/>
              </w:rPr>
              <w:t>00</w:t>
            </w:r>
            <w:r>
              <w:rPr>
                <w:rFonts w:hint="eastAsia" w:ascii="宋体" w:hAnsi="宋体" w:cs="宋体"/>
                <w:color w:val="auto"/>
                <w:szCs w:val="21"/>
                <w:highlight w:val="none"/>
              </w:rPr>
              <w:t>00</w:t>
            </w:r>
          </w:p>
        </w:tc>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邮编：</w:t>
            </w:r>
          </w:p>
        </w:tc>
        <w:tc>
          <w:tcPr>
            <w:tcW w:w="331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610094</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42" w:hRule="atLeast"/>
          <w:jc w:val="center"/>
        </w:trPr>
        <w:tc>
          <w:tcPr>
            <w:tcW w:w="110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szCs w:val="21"/>
                <w:highlight w:val="none"/>
                <w:lang w:val="zh-CN"/>
              </w:rPr>
              <w:t>联系人：</w:t>
            </w:r>
          </w:p>
        </w:tc>
        <w:tc>
          <w:tcPr>
            <w:tcW w:w="297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bCs/>
                <w:color w:val="auto"/>
                <w:highlight w:val="none"/>
              </w:rPr>
            </w:pPr>
            <w:r>
              <w:rPr>
                <w:rFonts w:hint="eastAsia" w:ascii="宋体" w:hAnsi="宋体" w:cs="宋体"/>
                <w:bCs/>
                <w:color w:val="auto"/>
                <w:highlight w:val="none"/>
              </w:rPr>
              <w:t>陶</w:t>
            </w:r>
            <w:r>
              <w:rPr>
                <w:rFonts w:hint="eastAsia" w:ascii="宋体" w:hAnsi="宋体" w:cs="宋体"/>
                <w:bCs/>
                <w:color w:val="auto"/>
                <w:highlight w:val="none"/>
                <w:lang w:eastAsia="zh-CN"/>
              </w:rPr>
              <w:t>女士</w:t>
            </w:r>
            <w:r>
              <w:rPr>
                <w:rFonts w:hint="eastAsia" w:ascii="宋体" w:hAnsi="宋体" w:cs="宋体"/>
                <w:bCs/>
                <w:color w:val="auto"/>
                <w:highlight w:val="none"/>
                <w:lang w:val="en-US" w:eastAsia="zh-CN"/>
              </w:rPr>
              <w:t xml:space="preserve"> 028-86017202</w:t>
            </w:r>
          </w:p>
        </w:tc>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szCs w:val="21"/>
                <w:highlight w:val="none"/>
                <w:lang w:val="zh-CN"/>
              </w:rPr>
              <w:t>联系人：</w:t>
            </w:r>
          </w:p>
        </w:tc>
        <w:tc>
          <w:tcPr>
            <w:tcW w:w="331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default" w:hAnsi="宋体" w:cs="宋体"/>
                <w:color w:val="auto"/>
                <w:highlight w:val="none"/>
                <w:lang w:val="en-US"/>
              </w:rPr>
            </w:pPr>
            <w:r>
              <w:rPr>
                <w:rFonts w:hint="eastAsia" w:asciiTheme="minorEastAsia" w:hAnsiTheme="minorEastAsia" w:eastAsiaTheme="minorEastAsia" w:cstheme="minorEastAsia"/>
                <w:color w:val="auto"/>
                <w:sz w:val="21"/>
                <w:szCs w:val="21"/>
                <w:highlight w:val="none"/>
                <w:lang w:eastAsia="zh-CN"/>
              </w:rPr>
              <w:t>王女士</w:t>
            </w:r>
            <w:r>
              <w:rPr>
                <w:rFonts w:hint="eastAsia" w:asciiTheme="minorEastAsia" w:hAnsiTheme="minorEastAsia" w:eastAsiaTheme="minorEastAsia" w:cstheme="minorEastAsia"/>
                <w:color w:val="auto"/>
                <w:sz w:val="21"/>
                <w:szCs w:val="21"/>
                <w:highlight w:val="none"/>
                <w:lang w:val="en-US" w:eastAsia="zh-CN"/>
              </w:rPr>
              <w:t xml:space="preserve"> 028-62053379</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57" w:hRule="atLeast"/>
          <w:jc w:val="center"/>
        </w:trPr>
        <w:tc>
          <w:tcPr>
            <w:tcW w:w="1108"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szCs w:val="21"/>
                <w:highlight w:val="none"/>
                <w:lang w:val="zh-CN"/>
              </w:rPr>
              <w:t>电子邮箱</w:t>
            </w:r>
            <w:r>
              <w:rPr>
                <w:rFonts w:hint="eastAsia" w:ascii="宋体" w:hAnsi="宋体" w:cs="宋体"/>
                <w:color w:val="auto"/>
                <w:szCs w:val="21"/>
                <w:highlight w:val="none"/>
              </w:rPr>
              <w:t>:</w:t>
            </w:r>
          </w:p>
        </w:tc>
        <w:tc>
          <w:tcPr>
            <w:tcW w:w="297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highlight w:val="none"/>
              </w:rPr>
              <w:t xml:space="preserve"> taoxy_zcy@cnpc.com.cn</w:t>
            </w:r>
          </w:p>
        </w:tc>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宋体" w:hAnsi="宋体" w:cs="宋体"/>
                <w:color w:val="auto"/>
                <w:highlight w:val="none"/>
              </w:rPr>
            </w:pPr>
            <w:r>
              <w:rPr>
                <w:rFonts w:hint="eastAsia" w:ascii="宋体" w:hAnsi="宋体" w:cs="宋体"/>
                <w:color w:val="auto"/>
                <w:szCs w:val="21"/>
                <w:highlight w:val="none"/>
                <w:lang w:val="zh-CN"/>
              </w:rPr>
              <w:t>电子邮箱：</w:t>
            </w:r>
          </w:p>
        </w:tc>
        <w:tc>
          <w:tcPr>
            <w:tcW w:w="331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Ansi="宋体" w:cs="宋体"/>
                <w:color w:val="auto"/>
                <w:highlight w:val="none"/>
              </w:rPr>
            </w:pPr>
            <w:r>
              <w:rPr>
                <w:rFonts w:hint="eastAsia" w:asciiTheme="minorEastAsia" w:hAnsiTheme="minorEastAsia" w:eastAsiaTheme="minorEastAsia" w:cstheme="minorEastAsia"/>
                <w:color w:val="auto"/>
                <w:sz w:val="21"/>
                <w:szCs w:val="21"/>
                <w:highlight w:val="none"/>
                <w:lang w:val="en-US" w:eastAsia="zh-CN"/>
              </w:rPr>
              <w:t>2201968249</w:t>
            </w:r>
            <w:r>
              <w:rPr>
                <w:rFonts w:hint="eastAsia" w:asciiTheme="minorEastAsia" w:hAnsiTheme="minorEastAsia" w:eastAsiaTheme="minorEastAsia" w:cstheme="minorEastAsia"/>
                <w:color w:val="auto"/>
                <w:sz w:val="21"/>
                <w:szCs w:val="21"/>
                <w:highlight w:val="none"/>
                <w:lang w:eastAsia="zh-CN"/>
              </w:rPr>
              <w:t>@qq.com</w:t>
            </w:r>
          </w:p>
        </w:tc>
      </w:tr>
    </w:tbl>
    <w:p>
      <w:pPr>
        <w:ind w:firstLine="420"/>
        <w:rPr>
          <w:szCs w:val="21"/>
        </w:rPr>
      </w:pPr>
    </w:p>
    <w:p>
      <w:pPr>
        <w:spacing w:line="360" w:lineRule="auto"/>
        <w:jc w:val="right"/>
        <w:rPr>
          <w:rFonts w:hAnsi="宋体"/>
          <w:lang w:val="zh-CN"/>
        </w:rPr>
      </w:pPr>
    </w:p>
    <w:p>
      <w:pPr>
        <w:pStyle w:val="7"/>
        <w:jc w:val="right"/>
        <w:rPr>
          <w:highlight w:val="none"/>
        </w:rPr>
      </w:pPr>
      <w:r>
        <w:rPr>
          <w:rFonts w:hint="eastAsia" w:ascii="宋体" w:hAnsi="宋体" w:cs="宋体"/>
        </w:rPr>
        <w:t>招标</w:t>
      </w:r>
      <w:r>
        <w:rPr>
          <w:rFonts w:hint="eastAsia" w:ascii="宋体" w:hAnsi="宋体" w:cs="宋体"/>
          <w:lang w:eastAsia="zh-CN"/>
        </w:rPr>
        <w:t>机构</w:t>
      </w:r>
      <w:r>
        <w:rPr>
          <w:rFonts w:hint="eastAsia" w:ascii="宋体" w:hAnsi="宋体" w:cs="宋体"/>
        </w:rPr>
        <w:t>：四川恒鑫</w:t>
      </w:r>
      <w:r>
        <w:rPr>
          <w:rFonts w:hint="eastAsia" w:ascii="宋体" w:hAnsi="宋体" w:cs="宋体"/>
          <w:highlight w:val="none"/>
        </w:rPr>
        <w:t>工程管理咨询有限公司</w:t>
      </w:r>
      <w:r>
        <w:rPr>
          <w:rFonts w:hint="eastAsia" w:hAnsi="宋体" w:cs="宋体"/>
          <w:highlight w:val="none"/>
        </w:rPr>
        <w:t xml:space="preserve">                                                                     2020年</w:t>
      </w:r>
      <w:r>
        <w:rPr>
          <w:rFonts w:hint="eastAsia" w:hAnsi="宋体" w:cs="宋体"/>
          <w:highlight w:val="none"/>
          <w:lang w:val="en-US" w:eastAsia="zh-CN"/>
        </w:rPr>
        <w:t>8</w:t>
      </w:r>
      <w:r>
        <w:rPr>
          <w:rFonts w:hint="eastAsia" w:hAnsi="宋体" w:cs="宋体"/>
          <w:highlight w:val="none"/>
        </w:rPr>
        <w:t>月</w:t>
      </w:r>
      <w:r>
        <w:rPr>
          <w:rFonts w:hint="eastAsia" w:hAnsi="宋体" w:cs="宋体"/>
          <w:highlight w:val="none"/>
          <w:lang w:val="en-US" w:eastAsia="zh-CN"/>
        </w:rPr>
        <w:t xml:space="preserve">28 </w:t>
      </w:r>
      <w:r>
        <w:rPr>
          <w:rFonts w:hint="eastAsia" w:hAnsi="宋体" w:cs="宋体"/>
          <w:highlight w:val="none"/>
        </w:rPr>
        <w:t>日</w:t>
      </w:r>
    </w:p>
    <w:p>
      <w:pPr>
        <w:snapToGrid w:val="0"/>
        <w:spacing w:beforeLines="100" w:line="360" w:lineRule="auto"/>
        <w:jc w:val="center"/>
        <w:rPr>
          <w:rFonts w:hAnsi="宋体" w:cs="宋体"/>
          <w:sz w:val="32"/>
          <w:szCs w:val="32"/>
        </w:rPr>
      </w:pPr>
      <w:r>
        <w:rPr>
          <w:rFonts w:hint="eastAsia"/>
        </w:rPr>
        <w:br w:type="page"/>
      </w:r>
      <w:r>
        <w:rPr>
          <w:rFonts w:hint="eastAsia" w:ascii="黑体" w:eastAsia="黑体"/>
          <w:sz w:val="32"/>
          <w:szCs w:val="32"/>
        </w:rPr>
        <w:t>投标回函</w:t>
      </w:r>
    </w:p>
    <w:p>
      <w:pPr>
        <w:pStyle w:val="8"/>
        <w:ind w:firstLine="422"/>
        <w:outlineLvl w:val="9"/>
        <w:rPr>
          <w:rFonts w:cs="宋体"/>
        </w:rPr>
      </w:pPr>
    </w:p>
    <w:p>
      <w:pPr>
        <w:snapToGrid w:val="0"/>
        <w:spacing w:line="360" w:lineRule="auto"/>
        <w:rPr>
          <w:rFonts w:hAnsi="宋体" w:cs="宋体"/>
          <w:sz w:val="24"/>
        </w:rPr>
      </w:pPr>
      <w:r>
        <w:rPr>
          <w:rFonts w:hint="eastAsia" w:hAnsi="宋体" w:cs="宋体"/>
          <w:sz w:val="24"/>
        </w:rPr>
        <w:t>四川恒鑫工程管理咨询有限公司：</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我公司获悉贵公司招标项目编号为</w:t>
      </w:r>
      <w:r>
        <w:rPr>
          <w:rFonts w:hint="eastAsia" w:ascii="宋体" w:hAnsi="宋体" w:cs="宋体"/>
          <w:b/>
          <w:bCs/>
          <w:sz w:val="24"/>
          <w:szCs w:val="24"/>
          <w:u w:val="single"/>
          <w:lang w:val="zh-CN"/>
        </w:rPr>
        <w:t>试修物采招字2020-4-08号</w:t>
      </w:r>
      <w:r>
        <w:rPr>
          <w:rFonts w:hint="eastAsia" w:ascii="宋体" w:hAnsi="宋体" w:cs="宋体"/>
          <w:sz w:val="24"/>
          <w:szCs w:val="24"/>
        </w:rPr>
        <w:t>的</w:t>
      </w:r>
      <w:r>
        <w:rPr>
          <w:rFonts w:hint="eastAsia" w:ascii="宋体" w:hAnsi="宋体" w:cs="宋体"/>
          <w:b/>
          <w:bCs/>
          <w:sz w:val="24"/>
          <w:szCs w:val="24"/>
          <w:u w:val="single"/>
          <w:lang w:val="zh-CN"/>
        </w:rPr>
        <w:t>125MPa试压泵物资采购</w:t>
      </w:r>
      <w:r>
        <w:rPr>
          <w:rFonts w:hint="eastAsia" w:ascii="宋体" w:hAnsi="宋体" w:cs="宋体"/>
          <w:sz w:val="24"/>
          <w:szCs w:val="24"/>
        </w:rPr>
        <w:t>招标公告，在贵</w:t>
      </w:r>
      <w:r>
        <w:rPr>
          <w:rFonts w:hint="eastAsia" w:ascii="宋体" w:hAnsi="宋体" w:cs="宋体"/>
          <w:sz w:val="24"/>
          <w:szCs w:val="24"/>
          <w:lang w:eastAsia="zh-CN"/>
        </w:rPr>
        <w:t>公司</w:t>
      </w:r>
      <w:r>
        <w:rPr>
          <w:rFonts w:hint="eastAsia" w:ascii="宋体" w:hAnsi="宋体" w:cs="宋体"/>
          <w:sz w:val="24"/>
          <w:szCs w:val="24"/>
        </w:rPr>
        <w:t>规定的时间内购买了招标文件，遵照《中华人民共和国招标投标法》相关规定，我方认真研究了招标项目概况及其相关内容后：</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□我公司确认参加该项目的投标，我公司将按照招标文件要求及时递交投标文件。</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□我公司因</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 xml:space="preserve"> </w:t>
      </w:r>
      <w:r>
        <w:rPr>
          <w:rFonts w:hint="eastAsia" w:ascii="宋体" w:hAnsi="宋体" w:cs="宋体"/>
          <w:sz w:val="24"/>
          <w:szCs w:val="24"/>
        </w:rPr>
        <w:t>不参加本招标项目的投标。</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是否按招标文件要求递交投标保证金：</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□是   递交时间：年月日              □否</w:t>
      </w:r>
    </w:p>
    <w:p>
      <w:pPr>
        <w:pStyle w:val="9"/>
        <w:spacing w:line="360" w:lineRule="auto"/>
        <w:ind w:firstLine="420"/>
        <w:rPr>
          <w:rFonts w:ascii="宋体" w:hAnsi="宋体" w:cs="宋体"/>
          <w:sz w:val="24"/>
          <w:szCs w:val="24"/>
        </w:rPr>
      </w:pPr>
    </w:p>
    <w:p>
      <w:pPr>
        <w:pStyle w:val="9"/>
        <w:spacing w:line="360" w:lineRule="auto"/>
        <w:ind w:firstLine="420"/>
        <w:rPr>
          <w:rFonts w:ascii="宋体" w:hAnsi="宋体" w:cs="宋体"/>
          <w:sz w:val="24"/>
          <w:szCs w:val="24"/>
        </w:rPr>
      </w:pPr>
    </w:p>
    <w:p>
      <w:pPr>
        <w:pStyle w:val="9"/>
        <w:spacing w:line="360" w:lineRule="auto"/>
        <w:ind w:firstLine="420"/>
        <w:rPr>
          <w:rFonts w:ascii="宋体" w:hAnsi="宋体" w:cs="宋体"/>
          <w:sz w:val="24"/>
          <w:szCs w:val="24"/>
        </w:rPr>
      </w:pPr>
    </w:p>
    <w:p>
      <w:pPr>
        <w:pStyle w:val="9"/>
        <w:spacing w:line="360" w:lineRule="auto"/>
        <w:ind w:firstLine="480" w:firstLineChars="200"/>
        <w:rPr>
          <w:rFonts w:ascii="宋体" w:hAnsi="宋体" w:cs="宋体"/>
          <w:sz w:val="24"/>
          <w:szCs w:val="24"/>
        </w:rPr>
      </w:pPr>
      <w:r>
        <w:rPr>
          <w:rFonts w:hint="eastAsia" w:ascii="宋体" w:hAnsi="宋体" w:cs="宋体"/>
          <w:sz w:val="24"/>
          <w:szCs w:val="24"/>
        </w:rPr>
        <w:t>投标单位全称（盖章）：</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法定代表人（签字或盖章）：</w:t>
      </w:r>
    </w:p>
    <w:p>
      <w:pPr>
        <w:pStyle w:val="9"/>
        <w:spacing w:line="360" w:lineRule="auto"/>
        <w:ind w:firstLine="480" w:firstLineChars="200"/>
        <w:rPr>
          <w:rFonts w:ascii="宋体" w:hAnsi="宋体" w:cs="宋体"/>
          <w:sz w:val="24"/>
          <w:szCs w:val="24"/>
          <w:u w:val="single"/>
        </w:rPr>
      </w:pPr>
      <w:r>
        <w:rPr>
          <w:rFonts w:hint="eastAsia" w:ascii="宋体" w:hAnsi="宋体" w:cs="宋体"/>
          <w:sz w:val="24"/>
          <w:szCs w:val="24"/>
        </w:rPr>
        <w:t>地    址：</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 xml:space="preserve">联 系 人：                         </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 xml:space="preserve">联系电话：                         </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邮    编：</w:t>
      </w:r>
    </w:p>
    <w:p>
      <w:pPr>
        <w:pStyle w:val="9"/>
        <w:spacing w:line="360" w:lineRule="auto"/>
        <w:ind w:firstLine="480" w:firstLineChars="200"/>
        <w:rPr>
          <w:rFonts w:ascii="宋体" w:hAnsi="宋体" w:cs="宋体"/>
          <w:sz w:val="24"/>
          <w:szCs w:val="24"/>
          <w:u w:val="single"/>
        </w:rPr>
      </w:pPr>
      <w:r>
        <w:rPr>
          <w:rFonts w:hint="eastAsia" w:ascii="宋体" w:hAnsi="宋体" w:cs="宋体"/>
          <w:sz w:val="24"/>
          <w:szCs w:val="24"/>
        </w:rPr>
        <w:t>日    期：</w:t>
      </w:r>
    </w:p>
    <w:p>
      <w:pPr>
        <w:pStyle w:val="9"/>
        <w:spacing w:line="360" w:lineRule="auto"/>
        <w:ind w:firstLine="480" w:firstLineChars="200"/>
        <w:rPr>
          <w:rFonts w:ascii="宋体" w:hAnsi="宋体" w:cs="宋体"/>
          <w:sz w:val="24"/>
          <w:szCs w:val="24"/>
        </w:rPr>
      </w:pPr>
    </w:p>
    <w:p>
      <w:pPr>
        <w:pStyle w:val="9"/>
        <w:spacing w:line="360" w:lineRule="auto"/>
        <w:ind w:firstLine="480" w:firstLineChars="200"/>
        <w:rPr>
          <w:rFonts w:ascii="宋体" w:hAnsi="宋体" w:cs="宋体"/>
          <w:sz w:val="24"/>
          <w:szCs w:val="24"/>
        </w:rPr>
      </w:pPr>
    </w:p>
    <w:p>
      <w:pPr>
        <w:pStyle w:val="9"/>
        <w:spacing w:line="360" w:lineRule="auto"/>
        <w:ind w:firstLine="480" w:firstLineChars="200"/>
        <w:rPr>
          <w:rFonts w:ascii="宋体" w:hAnsi="宋体" w:cs="宋体"/>
          <w:sz w:val="24"/>
          <w:szCs w:val="24"/>
        </w:rPr>
      </w:pPr>
    </w:p>
    <w:p>
      <w:pPr>
        <w:pStyle w:val="9"/>
        <w:spacing w:line="360" w:lineRule="auto"/>
        <w:ind w:firstLine="480" w:firstLineChars="200"/>
        <w:rPr>
          <w:rFonts w:ascii="宋体" w:hAnsi="宋体" w:cs="宋体"/>
          <w:color w:val="FF0000"/>
        </w:rPr>
      </w:pPr>
      <w:r>
        <w:rPr>
          <w:rFonts w:hint="eastAsia" w:ascii="宋体" w:hAnsi="宋体" w:cs="宋体"/>
          <w:sz w:val="24"/>
          <w:szCs w:val="24"/>
        </w:rPr>
        <w:t>注：</w:t>
      </w:r>
      <w:r>
        <w:rPr>
          <w:rFonts w:hint="eastAsia" w:ascii="宋体" w:hAnsi="宋体" w:cs="宋体"/>
          <w:b/>
          <w:bCs/>
        </w:rPr>
        <w:t>1.请投标人</w:t>
      </w:r>
      <w:r>
        <w:rPr>
          <w:rFonts w:hint="eastAsia" w:ascii="宋体" w:hAnsi="宋体" w:cs="宋体"/>
          <w:b/>
          <w:bCs/>
          <w:color w:val="auto"/>
        </w:rPr>
        <w:t>在购买标书后5个工作日内回复，否则招标人可视为其不参加投标处理。</w:t>
      </w:r>
    </w:p>
    <w:p>
      <w:pPr>
        <w:pStyle w:val="9"/>
        <w:spacing w:line="360" w:lineRule="auto"/>
        <w:ind w:firstLine="420" w:firstLineChars="200"/>
        <w:rPr>
          <w:rFonts w:ascii="宋体" w:hAnsi="宋体" w:cs="宋体"/>
          <w:sz w:val="24"/>
          <w:szCs w:val="24"/>
        </w:rPr>
      </w:pPr>
      <w:r>
        <w:rPr>
          <w:rFonts w:hint="eastAsia" w:ascii="宋体" w:hAnsi="宋体" w:cs="宋体"/>
        </w:rPr>
        <w:t xml:space="preserve">     2.请将投标回函填写完整并加盖公章扫描后，发至招标机构联系人邮箱。</w:t>
      </w:r>
    </w:p>
    <w:p>
      <w:pPr>
        <w:snapToGrid w:val="0"/>
        <w:spacing w:beforeLines="100" w:line="360" w:lineRule="auto"/>
        <w:jc w:val="center"/>
      </w:pPr>
      <w:r>
        <w:br w:type="page"/>
      </w:r>
      <w:r>
        <w:rPr>
          <w:rFonts w:hint="eastAsia" w:ascii="黑体" w:eastAsia="黑体"/>
          <w:sz w:val="32"/>
          <w:szCs w:val="32"/>
        </w:rPr>
        <w:t>领取（购买）招标文件登记表</w:t>
      </w:r>
    </w:p>
    <w:tbl>
      <w:tblPr>
        <w:tblStyle w:val="5"/>
        <w:tblW w:w="8940" w:type="dxa"/>
        <w:tblInd w:w="108" w:type="dxa"/>
        <w:tblLayout w:type="fixed"/>
        <w:tblCellMar>
          <w:top w:w="0" w:type="dxa"/>
          <w:left w:w="108" w:type="dxa"/>
          <w:bottom w:w="0" w:type="dxa"/>
          <w:right w:w="108" w:type="dxa"/>
        </w:tblCellMar>
      </w:tblPr>
      <w:tblGrid>
        <w:gridCol w:w="1080"/>
        <w:gridCol w:w="1900"/>
        <w:gridCol w:w="1900"/>
        <w:gridCol w:w="4060"/>
      </w:tblGrid>
      <w:tr>
        <w:tblPrEx>
          <w:tblLayout w:type="fixed"/>
          <w:tblCellMar>
            <w:top w:w="0" w:type="dxa"/>
            <w:left w:w="108" w:type="dxa"/>
            <w:bottom w:w="0" w:type="dxa"/>
            <w:right w:w="108" w:type="dxa"/>
          </w:tblCellMar>
        </w:tblPrEx>
        <w:trPr>
          <w:trHeight w:val="375" w:hRule="atLeast"/>
        </w:trPr>
        <w:tc>
          <w:tcPr>
            <w:tcW w:w="8940" w:type="dxa"/>
            <w:gridSpan w:val="4"/>
            <w:tcBorders>
              <w:top w:val="nil"/>
              <w:left w:val="nil"/>
              <w:bottom w:val="nil"/>
              <w:right w:val="nil"/>
            </w:tcBorders>
            <w:vAlign w:val="center"/>
          </w:tcPr>
          <w:p>
            <w:pPr>
              <w:snapToGrid w:val="0"/>
              <w:spacing w:line="360" w:lineRule="auto"/>
            </w:pPr>
          </w:p>
        </w:tc>
      </w:tr>
      <w:tr>
        <w:tblPrEx>
          <w:tblLayout w:type="fixed"/>
          <w:tblCellMar>
            <w:top w:w="0" w:type="dxa"/>
            <w:left w:w="108" w:type="dxa"/>
            <w:bottom w:w="0" w:type="dxa"/>
            <w:right w:w="108" w:type="dxa"/>
          </w:tblCellMar>
        </w:tblPrEx>
        <w:trPr>
          <w:trHeight w:val="285" w:hRule="atLeast"/>
        </w:trPr>
        <w:tc>
          <w:tcPr>
            <w:tcW w:w="8940" w:type="dxa"/>
            <w:gridSpan w:val="4"/>
            <w:tcBorders>
              <w:top w:val="nil"/>
              <w:left w:val="nil"/>
              <w:bottom w:val="nil"/>
              <w:right w:val="nil"/>
            </w:tcBorders>
            <w:vAlign w:val="center"/>
          </w:tcPr>
          <w:p>
            <w:pPr>
              <w:snapToGrid w:val="0"/>
              <w:spacing w:line="360" w:lineRule="auto"/>
            </w:pPr>
            <w:r>
              <w:rPr>
                <w:rFonts w:hint="eastAsia"/>
              </w:rPr>
              <w:t>招标项目名称：</w:t>
            </w:r>
            <w:r>
              <w:rPr>
                <w:rFonts w:hint="eastAsia"/>
                <w:lang w:val="zh-CN"/>
              </w:rPr>
              <w:t>125MPa试压泵物资采购</w:t>
            </w:r>
          </w:p>
        </w:tc>
      </w:tr>
      <w:tr>
        <w:tblPrEx>
          <w:tblLayout w:type="fixed"/>
          <w:tblCellMar>
            <w:top w:w="0" w:type="dxa"/>
            <w:left w:w="108" w:type="dxa"/>
            <w:bottom w:w="0" w:type="dxa"/>
            <w:right w:w="108" w:type="dxa"/>
          </w:tblCellMar>
        </w:tblPrEx>
        <w:trPr>
          <w:trHeight w:val="285" w:hRule="atLeast"/>
        </w:trPr>
        <w:tc>
          <w:tcPr>
            <w:tcW w:w="8940" w:type="dxa"/>
            <w:gridSpan w:val="4"/>
            <w:tcBorders>
              <w:top w:val="nil"/>
              <w:left w:val="nil"/>
              <w:bottom w:val="nil"/>
              <w:right w:val="nil"/>
            </w:tcBorders>
            <w:vAlign w:val="center"/>
          </w:tcPr>
          <w:p>
            <w:pPr>
              <w:snapToGrid w:val="0"/>
              <w:spacing w:line="360" w:lineRule="auto"/>
            </w:pPr>
            <w:r>
              <w:rPr>
                <w:rFonts w:hint="eastAsia"/>
              </w:rPr>
              <w:t>招标编号：试修物采招字2020-4-08号</w:t>
            </w:r>
          </w:p>
        </w:tc>
      </w:tr>
      <w:tr>
        <w:tblPrEx>
          <w:tblLayout w:type="fixed"/>
          <w:tblCellMar>
            <w:top w:w="0" w:type="dxa"/>
            <w:left w:w="108" w:type="dxa"/>
            <w:bottom w:w="0" w:type="dxa"/>
            <w:right w:w="108" w:type="dxa"/>
          </w:tblCellMar>
        </w:tblPrEx>
        <w:trPr>
          <w:trHeight w:val="645" w:hRule="atLeast"/>
        </w:trPr>
        <w:tc>
          <w:tcPr>
            <w:tcW w:w="108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pPr>
            <w:r>
              <w:rPr>
                <w:rFonts w:hint="eastAsia"/>
              </w:rPr>
              <w:t>序号</w:t>
            </w:r>
          </w:p>
        </w:tc>
        <w:tc>
          <w:tcPr>
            <w:tcW w:w="7860" w:type="dxa"/>
            <w:gridSpan w:val="3"/>
            <w:tcBorders>
              <w:top w:val="single" w:color="auto" w:sz="4" w:space="0"/>
              <w:left w:val="nil"/>
              <w:bottom w:val="single" w:color="auto" w:sz="4" w:space="0"/>
              <w:right w:val="single" w:color="auto" w:sz="4" w:space="0"/>
            </w:tcBorders>
            <w:vAlign w:val="center"/>
          </w:tcPr>
          <w:p>
            <w:pPr>
              <w:snapToGrid w:val="0"/>
              <w:spacing w:line="360" w:lineRule="auto"/>
              <w:jc w:val="center"/>
            </w:pPr>
            <w:r>
              <w:rPr>
                <w:rFonts w:hint="eastAsia"/>
              </w:rPr>
              <w:t>内  容</w:t>
            </w:r>
          </w:p>
        </w:tc>
      </w:tr>
      <w:tr>
        <w:tblPrEx>
          <w:tblLayout w:type="fixed"/>
          <w:tblCellMar>
            <w:top w:w="0" w:type="dxa"/>
            <w:left w:w="108" w:type="dxa"/>
            <w:bottom w:w="0" w:type="dxa"/>
            <w:right w:w="108" w:type="dxa"/>
          </w:tblCellMar>
        </w:tblPrEx>
        <w:trPr>
          <w:trHeight w:val="990" w:hRule="atLeast"/>
        </w:trPr>
        <w:tc>
          <w:tcPr>
            <w:tcW w:w="1080" w:type="dxa"/>
            <w:tcBorders>
              <w:top w:val="nil"/>
              <w:left w:val="single" w:color="auto" w:sz="4" w:space="0"/>
              <w:bottom w:val="single" w:color="auto" w:sz="4" w:space="0"/>
              <w:right w:val="single" w:color="auto" w:sz="4" w:space="0"/>
            </w:tcBorders>
            <w:vAlign w:val="center"/>
          </w:tcPr>
          <w:p>
            <w:pPr>
              <w:snapToGrid w:val="0"/>
              <w:spacing w:line="360" w:lineRule="auto"/>
              <w:jc w:val="center"/>
            </w:pPr>
            <w:r>
              <w:rPr>
                <w:rFonts w:hint="eastAsia"/>
              </w:rPr>
              <w:t>1</w:t>
            </w:r>
          </w:p>
        </w:tc>
        <w:tc>
          <w:tcPr>
            <w:tcW w:w="3800" w:type="dxa"/>
            <w:gridSpan w:val="2"/>
            <w:tcBorders>
              <w:top w:val="single" w:color="auto" w:sz="4" w:space="0"/>
              <w:left w:val="nil"/>
              <w:bottom w:val="single" w:color="auto" w:sz="4" w:space="0"/>
              <w:right w:val="single" w:color="auto" w:sz="4" w:space="0"/>
            </w:tcBorders>
            <w:vAlign w:val="center"/>
          </w:tcPr>
          <w:p>
            <w:pPr>
              <w:snapToGrid w:val="0"/>
              <w:spacing w:line="360" w:lineRule="auto"/>
            </w:pPr>
            <w:r>
              <w:rPr>
                <w:rFonts w:hint="eastAsia"/>
              </w:rPr>
              <w:t>潜在投标人名称</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　</w:t>
            </w:r>
          </w:p>
        </w:tc>
      </w:tr>
      <w:tr>
        <w:tblPrEx>
          <w:tblLayout w:type="fixed"/>
          <w:tblCellMar>
            <w:top w:w="0" w:type="dxa"/>
            <w:left w:w="108" w:type="dxa"/>
            <w:bottom w:w="0" w:type="dxa"/>
            <w:right w:w="108" w:type="dxa"/>
          </w:tblCellMar>
        </w:tblPrEx>
        <w:trPr>
          <w:trHeight w:val="856" w:hRule="atLeast"/>
        </w:trPr>
        <w:tc>
          <w:tcPr>
            <w:tcW w:w="1080" w:type="dxa"/>
            <w:vMerge w:val="restart"/>
            <w:tcBorders>
              <w:top w:val="nil"/>
              <w:left w:val="single" w:color="auto" w:sz="4" w:space="0"/>
              <w:right w:val="single" w:color="auto" w:sz="4" w:space="0"/>
            </w:tcBorders>
            <w:vAlign w:val="center"/>
          </w:tcPr>
          <w:p>
            <w:pPr>
              <w:snapToGrid w:val="0"/>
              <w:spacing w:line="360" w:lineRule="auto"/>
              <w:jc w:val="center"/>
            </w:pPr>
            <w:r>
              <w:rPr>
                <w:rFonts w:hint="eastAsia"/>
              </w:rPr>
              <w:t>2</w:t>
            </w:r>
          </w:p>
        </w:tc>
        <w:tc>
          <w:tcPr>
            <w:tcW w:w="1900" w:type="dxa"/>
            <w:vMerge w:val="restart"/>
            <w:tcBorders>
              <w:top w:val="nil"/>
              <w:left w:val="single" w:color="auto" w:sz="4" w:space="0"/>
              <w:right w:val="single" w:color="auto" w:sz="4" w:space="0"/>
            </w:tcBorders>
            <w:vAlign w:val="center"/>
          </w:tcPr>
          <w:p>
            <w:pPr>
              <w:snapToGrid w:val="0"/>
              <w:spacing w:line="360" w:lineRule="auto"/>
            </w:pPr>
            <w:r>
              <w:rPr>
                <w:rFonts w:hint="eastAsia"/>
              </w:rPr>
              <w:t>潜在投标人联系方式</w:t>
            </w:r>
          </w:p>
        </w:tc>
        <w:tc>
          <w:tcPr>
            <w:tcW w:w="1900" w:type="dxa"/>
            <w:tcBorders>
              <w:top w:val="nil"/>
              <w:left w:val="nil"/>
              <w:bottom w:val="single" w:color="auto" w:sz="4" w:space="0"/>
              <w:right w:val="single" w:color="auto" w:sz="4" w:space="0"/>
            </w:tcBorders>
            <w:vAlign w:val="center"/>
          </w:tcPr>
          <w:p>
            <w:pPr>
              <w:snapToGrid w:val="0"/>
              <w:spacing w:line="360" w:lineRule="auto"/>
            </w:pPr>
            <w:r>
              <w:rPr>
                <w:rFonts w:hint="eastAsia"/>
              </w:rPr>
              <w:t>姓名及职务</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　</w:t>
            </w:r>
          </w:p>
        </w:tc>
      </w:tr>
      <w:tr>
        <w:tblPrEx>
          <w:tblLayout w:type="fixed"/>
          <w:tblCellMar>
            <w:top w:w="0" w:type="dxa"/>
            <w:left w:w="108" w:type="dxa"/>
            <w:bottom w:w="0" w:type="dxa"/>
            <w:right w:w="108" w:type="dxa"/>
          </w:tblCellMar>
        </w:tblPrEx>
        <w:trPr>
          <w:trHeight w:val="856" w:hRule="atLeast"/>
        </w:trPr>
        <w:tc>
          <w:tcPr>
            <w:tcW w:w="1080" w:type="dxa"/>
            <w:vMerge w:val="continue"/>
            <w:tcBorders>
              <w:left w:val="single" w:color="auto" w:sz="4" w:space="0"/>
              <w:right w:val="single" w:color="auto" w:sz="4" w:space="0"/>
            </w:tcBorders>
            <w:vAlign w:val="center"/>
          </w:tcPr>
          <w:p>
            <w:pPr>
              <w:snapToGrid w:val="0"/>
              <w:spacing w:line="360" w:lineRule="auto"/>
            </w:pPr>
          </w:p>
        </w:tc>
        <w:tc>
          <w:tcPr>
            <w:tcW w:w="1900" w:type="dxa"/>
            <w:vMerge w:val="continue"/>
            <w:tcBorders>
              <w:left w:val="single" w:color="auto" w:sz="4" w:space="0"/>
              <w:right w:val="single" w:color="auto" w:sz="4" w:space="0"/>
            </w:tcBorders>
            <w:vAlign w:val="center"/>
          </w:tcPr>
          <w:p>
            <w:pPr>
              <w:snapToGrid w:val="0"/>
              <w:spacing w:line="360" w:lineRule="auto"/>
            </w:pPr>
          </w:p>
        </w:tc>
        <w:tc>
          <w:tcPr>
            <w:tcW w:w="1900" w:type="dxa"/>
            <w:tcBorders>
              <w:top w:val="nil"/>
              <w:left w:val="nil"/>
              <w:bottom w:val="single" w:color="auto" w:sz="4" w:space="0"/>
              <w:right w:val="single" w:color="auto" w:sz="4" w:space="0"/>
            </w:tcBorders>
            <w:vAlign w:val="center"/>
          </w:tcPr>
          <w:p>
            <w:pPr>
              <w:snapToGrid w:val="0"/>
              <w:spacing w:line="360" w:lineRule="auto"/>
            </w:pPr>
            <w:r>
              <w:rPr>
                <w:rFonts w:hint="eastAsia"/>
              </w:rPr>
              <w:t>固定电话</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　</w:t>
            </w:r>
          </w:p>
        </w:tc>
      </w:tr>
      <w:tr>
        <w:tblPrEx>
          <w:tblLayout w:type="fixed"/>
          <w:tblCellMar>
            <w:top w:w="0" w:type="dxa"/>
            <w:left w:w="108" w:type="dxa"/>
            <w:bottom w:w="0" w:type="dxa"/>
            <w:right w:w="108" w:type="dxa"/>
          </w:tblCellMar>
        </w:tblPrEx>
        <w:trPr>
          <w:trHeight w:val="856" w:hRule="atLeast"/>
        </w:trPr>
        <w:tc>
          <w:tcPr>
            <w:tcW w:w="1080" w:type="dxa"/>
            <w:vMerge w:val="continue"/>
            <w:tcBorders>
              <w:left w:val="single" w:color="auto" w:sz="4" w:space="0"/>
              <w:right w:val="single" w:color="auto" w:sz="4" w:space="0"/>
            </w:tcBorders>
            <w:vAlign w:val="center"/>
          </w:tcPr>
          <w:p>
            <w:pPr>
              <w:snapToGrid w:val="0"/>
              <w:spacing w:line="360" w:lineRule="auto"/>
            </w:pPr>
          </w:p>
        </w:tc>
        <w:tc>
          <w:tcPr>
            <w:tcW w:w="1900" w:type="dxa"/>
            <w:vMerge w:val="continue"/>
            <w:tcBorders>
              <w:left w:val="single" w:color="auto" w:sz="4" w:space="0"/>
              <w:right w:val="single" w:color="auto" w:sz="4" w:space="0"/>
            </w:tcBorders>
            <w:vAlign w:val="center"/>
          </w:tcPr>
          <w:p>
            <w:pPr>
              <w:snapToGrid w:val="0"/>
              <w:spacing w:line="360" w:lineRule="auto"/>
            </w:pPr>
          </w:p>
        </w:tc>
        <w:tc>
          <w:tcPr>
            <w:tcW w:w="1900" w:type="dxa"/>
            <w:tcBorders>
              <w:top w:val="nil"/>
              <w:left w:val="nil"/>
              <w:bottom w:val="single" w:color="auto" w:sz="4" w:space="0"/>
              <w:right w:val="single" w:color="auto" w:sz="4" w:space="0"/>
            </w:tcBorders>
            <w:vAlign w:val="center"/>
          </w:tcPr>
          <w:p>
            <w:pPr>
              <w:snapToGrid w:val="0"/>
              <w:spacing w:line="360" w:lineRule="auto"/>
            </w:pPr>
            <w:r>
              <w:rPr>
                <w:rFonts w:hint="eastAsia"/>
              </w:rPr>
              <w:t>传真</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　</w:t>
            </w:r>
          </w:p>
        </w:tc>
      </w:tr>
      <w:tr>
        <w:tblPrEx>
          <w:tblLayout w:type="fixed"/>
          <w:tblCellMar>
            <w:top w:w="0" w:type="dxa"/>
            <w:left w:w="108" w:type="dxa"/>
            <w:bottom w:w="0" w:type="dxa"/>
            <w:right w:w="108" w:type="dxa"/>
          </w:tblCellMar>
        </w:tblPrEx>
        <w:trPr>
          <w:trHeight w:val="841" w:hRule="atLeast"/>
        </w:trPr>
        <w:tc>
          <w:tcPr>
            <w:tcW w:w="1080" w:type="dxa"/>
            <w:vMerge w:val="continue"/>
            <w:tcBorders>
              <w:left w:val="single" w:color="auto" w:sz="4" w:space="0"/>
              <w:right w:val="single" w:color="auto" w:sz="4" w:space="0"/>
            </w:tcBorders>
            <w:vAlign w:val="center"/>
          </w:tcPr>
          <w:p>
            <w:pPr>
              <w:snapToGrid w:val="0"/>
              <w:spacing w:line="360" w:lineRule="auto"/>
            </w:pPr>
          </w:p>
        </w:tc>
        <w:tc>
          <w:tcPr>
            <w:tcW w:w="1900" w:type="dxa"/>
            <w:vMerge w:val="continue"/>
            <w:tcBorders>
              <w:left w:val="single" w:color="auto" w:sz="4" w:space="0"/>
              <w:right w:val="single" w:color="auto" w:sz="4" w:space="0"/>
            </w:tcBorders>
            <w:vAlign w:val="center"/>
          </w:tcPr>
          <w:p>
            <w:pPr>
              <w:snapToGrid w:val="0"/>
              <w:spacing w:line="360" w:lineRule="auto"/>
            </w:pPr>
          </w:p>
        </w:tc>
        <w:tc>
          <w:tcPr>
            <w:tcW w:w="1900" w:type="dxa"/>
            <w:tcBorders>
              <w:top w:val="nil"/>
              <w:left w:val="nil"/>
              <w:bottom w:val="single" w:color="auto" w:sz="4" w:space="0"/>
              <w:right w:val="single" w:color="auto" w:sz="4" w:space="0"/>
            </w:tcBorders>
            <w:vAlign w:val="center"/>
          </w:tcPr>
          <w:p>
            <w:pPr>
              <w:snapToGrid w:val="0"/>
              <w:spacing w:line="360" w:lineRule="auto"/>
            </w:pPr>
            <w:r>
              <w:rPr>
                <w:rFonts w:hint="eastAsia"/>
              </w:rPr>
              <w:t>手机</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　</w:t>
            </w:r>
          </w:p>
        </w:tc>
      </w:tr>
      <w:tr>
        <w:tblPrEx>
          <w:tblLayout w:type="fixed"/>
          <w:tblCellMar>
            <w:top w:w="0" w:type="dxa"/>
            <w:left w:w="108" w:type="dxa"/>
            <w:bottom w:w="0" w:type="dxa"/>
            <w:right w:w="108" w:type="dxa"/>
          </w:tblCellMar>
        </w:tblPrEx>
        <w:trPr>
          <w:trHeight w:val="840" w:hRule="atLeast"/>
        </w:trPr>
        <w:tc>
          <w:tcPr>
            <w:tcW w:w="1080" w:type="dxa"/>
            <w:vMerge w:val="continue"/>
            <w:tcBorders>
              <w:left w:val="single" w:color="auto" w:sz="4" w:space="0"/>
              <w:bottom w:val="single" w:color="auto" w:sz="4" w:space="0"/>
              <w:right w:val="single" w:color="auto" w:sz="4" w:space="0"/>
            </w:tcBorders>
            <w:vAlign w:val="center"/>
          </w:tcPr>
          <w:p>
            <w:pPr>
              <w:snapToGrid w:val="0"/>
              <w:spacing w:line="360" w:lineRule="auto"/>
            </w:pPr>
          </w:p>
        </w:tc>
        <w:tc>
          <w:tcPr>
            <w:tcW w:w="1900" w:type="dxa"/>
            <w:vMerge w:val="continue"/>
            <w:tcBorders>
              <w:left w:val="single" w:color="auto" w:sz="4" w:space="0"/>
              <w:bottom w:val="single" w:color="000000" w:sz="4" w:space="0"/>
              <w:right w:val="single" w:color="auto" w:sz="4" w:space="0"/>
            </w:tcBorders>
            <w:vAlign w:val="center"/>
          </w:tcPr>
          <w:p>
            <w:pPr>
              <w:snapToGrid w:val="0"/>
              <w:spacing w:line="360" w:lineRule="auto"/>
            </w:pPr>
          </w:p>
        </w:tc>
        <w:tc>
          <w:tcPr>
            <w:tcW w:w="1900" w:type="dxa"/>
            <w:tcBorders>
              <w:top w:val="nil"/>
              <w:left w:val="nil"/>
              <w:bottom w:val="single" w:color="auto" w:sz="4" w:space="0"/>
              <w:right w:val="single" w:color="auto" w:sz="4" w:space="0"/>
            </w:tcBorders>
            <w:vAlign w:val="center"/>
          </w:tcPr>
          <w:p>
            <w:pPr>
              <w:snapToGrid w:val="0"/>
              <w:spacing w:line="360" w:lineRule="auto"/>
            </w:pPr>
            <w:r>
              <w:rPr>
                <w:rFonts w:hint="eastAsia"/>
              </w:rPr>
              <w:t>电子邮箱</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　</w:t>
            </w:r>
          </w:p>
        </w:tc>
      </w:tr>
      <w:tr>
        <w:tblPrEx>
          <w:tblLayout w:type="fixed"/>
          <w:tblCellMar>
            <w:top w:w="0" w:type="dxa"/>
            <w:left w:w="108" w:type="dxa"/>
            <w:bottom w:w="0" w:type="dxa"/>
            <w:right w:w="108" w:type="dxa"/>
          </w:tblCellMar>
        </w:tblPrEx>
        <w:trPr>
          <w:trHeight w:val="814" w:hRule="atLeast"/>
        </w:trPr>
        <w:tc>
          <w:tcPr>
            <w:tcW w:w="1080" w:type="dxa"/>
            <w:tcBorders>
              <w:top w:val="nil"/>
              <w:left w:val="single" w:color="auto" w:sz="4" w:space="0"/>
              <w:bottom w:val="single" w:color="auto" w:sz="4" w:space="0"/>
              <w:right w:val="single" w:color="auto" w:sz="4" w:space="0"/>
            </w:tcBorders>
            <w:vAlign w:val="center"/>
          </w:tcPr>
          <w:p>
            <w:pPr>
              <w:snapToGrid w:val="0"/>
              <w:spacing w:line="360" w:lineRule="auto"/>
              <w:jc w:val="center"/>
            </w:pPr>
            <w:r>
              <w:rPr>
                <w:rFonts w:hint="eastAsia"/>
              </w:rPr>
              <w:t>3</w:t>
            </w:r>
          </w:p>
        </w:tc>
        <w:tc>
          <w:tcPr>
            <w:tcW w:w="3800" w:type="dxa"/>
            <w:gridSpan w:val="2"/>
            <w:tcBorders>
              <w:top w:val="single" w:color="auto" w:sz="4" w:space="0"/>
              <w:left w:val="nil"/>
              <w:bottom w:val="single" w:color="auto" w:sz="4" w:space="0"/>
              <w:right w:val="single" w:color="auto" w:sz="4" w:space="0"/>
            </w:tcBorders>
            <w:vAlign w:val="center"/>
          </w:tcPr>
          <w:p>
            <w:pPr>
              <w:snapToGrid w:val="0"/>
              <w:spacing w:line="360" w:lineRule="auto"/>
            </w:pPr>
            <w:r>
              <w:rPr>
                <w:rFonts w:hint="eastAsia"/>
              </w:rPr>
              <w:t>招标文件信息</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一套共 1 本</w:t>
            </w:r>
          </w:p>
        </w:tc>
      </w:tr>
      <w:tr>
        <w:tblPrEx>
          <w:tblLayout w:type="fixed"/>
          <w:tblCellMar>
            <w:top w:w="0" w:type="dxa"/>
            <w:left w:w="108" w:type="dxa"/>
            <w:bottom w:w="0" w:type="dxa"/>
            <w:right w:w="108" w:type="dxa"/>
          </w:tblCellMar>
        </w:tblPrEx>
        <w:trPr>
          <w:trHeight w:val="828" w:hRule="atLeast"/>
        </w:trPr>
        <w:tc>
          <w:tcPr>
            <w:tcW w:w="1080" w:type="dxa"/>
            <w:tcBorders>
              <w:top w:val="nil"/>
              <w:left w:val="single" w:color="auto" w:sz="4" w:space="0"/>
              <w:bottom w:val="single" w:color="auto" w:sz="4" w:space="0"/>
              <w:right w:val="single" w:color="auto" w:sz="4" w:space="0"/>
            </w:tcBorders>
            <w:vAlign w:val="center"/>
          </w:tcPr>
          <w:p>
            <w:pPr>
              <w:snapToGrid w:val="0"/>
              <w:spacing w:line="360" w:lineRule="auto"/>
              <w:jc w:val="center"/>
            </w:pPr>
            <w:r>
              <w:rPr>
                <w:rFonts w:hint="eastAsia"/>
              </w:rPr>
              <w:t>4</w:t>
            </w:r>
          </w:p>
        </w:tc>
        <w:tc>
          <w:tcPr>
            <w:tcW w:w="3800" w:type="dxa"/>
            <w:gridSpan w:val="2"/>
            <w:tcBorders>
              <w:top w:val="single" w:color="auto" w:sz="4" w:space="0"/>
              <w:left w:val="nil"/>
              <w:bottom w:val="single" w:color="auto" w:sz="4" w:space="0"/>
              <w:right w:val="single" w:color="auto" w:sz="4" w:space="0"/>
            </w:tcBorders>
            <w:vAlign w:val="center"/>
          </w:tcPr>
          <w:p>
            <w:pPr>
              <w:snapToGrid w:val="0"/>
              <w:spacing w:line="360" w:lineRule="auto"/>
            </w:pPr>
            <w:r>
              <w:rPr>
                <w:rFonts w:hint="eastAsia"/>
              </w:rPr>
              <w:t>购买人签字</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　</w:t>
            </w:r>
          </w:p>
        </w:tc>
      </w:tr>
      <w:tr>
        <w:tblPrEx>
          <w:tblLayout w:type="fixed"/>
          <w:tblCellMar>
            <w:top w:w="0" w:type="dxa"/>
            <w:left w:w="108" w:type="dxa"/>
            <w:bottom w:w="0" w:type="dxa"/>
            <w:right w:w="108" w:type="dxa"/>
          </w:tblCellMar>
        </w:tblPrEx>
        <w:trPr>
          <w:trHeight w:val="814" w:hRule="atLeast"/>
        </w:trPr>
        <w:tc>
          <w:tcPr>
            <w:tcW w:w="1080" w:type="dxa"/>
            <w:tcBorders>
              <w:top w:val="nil"/>
              <w:left w:val="single" w:color="auto" w:sz="4" w:space="0"/>
              <w:bottom w:val="single" w:color="auto" w:sz="4" w:space="0"/>
              <w:right w:val="single" w:color="auto" w:sz="4" w:space="0"/>
            </w:tcBorders>
            <w:vAlign w:val="center"/>
          </w:tcPr>
          <w:p>
            <w:pPr>
              <w:snapToGrid w:val="0"/>
              <w:spacing w:line="360" w:lineRule="auto"/>
              <w:jc w:val="center"/>
            </w:pPr>
            <w:r>
              <w:rPr>
                <w:rFonts w:hint="eastAsia"/>
              </w:rPr>
              <w:t>5</w:t>
            </w:r>
          </w:p>
        </w:tc>
        <w:tc>
          <w:tcPr>
            <w:tcW w:w="3800" w:type="dxa"/>
            <w:gridSpan w:val="2"/>
            <w:tcBorders>
              <w:top w:val="single" w:color="auto" w:sz="4" w:space="0"/>
              <w:left w:val="nil"/>
              <w:bottom w:val="single" w:color="auto" w:sz="4" w:space="0"/>
              <w:right w:val="single" w:color="auto" w:sz="4" w:space="0"/>
            </w:tcBorders>
            <w:vAlign w:val="center"/>
          </w:tcPr>
          <w:p>
            <w:pPr>
              <w:snapToGrid w:val="0"/>
              <w:spacing w:line="360" w:lineRule="auto"/>
            </w:pPr>
            <w:r>
              <w:rPr>
                <w:rFonts w:hint="eastAsia"/>
              </w:rPr>
              <w:t>购买时间</w:t>
            </w:r>
          </w:p>
        </w:tc>
        <w:tc>
          <w:tcPr>
            <w:tcW w:w="4060" w:type="dxa"/>
            <w:tcBorders>
              <w:top w:val="nil"/>
              <w:left w:val="nil"/>
              <w:bottom w:val="single" w:color="auto" w:sz="4" w:space="0"/>
              <w:right w:val="single" w:color="auto" w:sz="4" w:space="0"/>
            </w:tcBorders>
            <w:vAlign w:val="center"/>
          </w:tcPr>
          <w:p>
            <w:pPr>
              <w:snapToGrid w:val="0"/>
              <w:spacing w:line="360" w:lineRule="auto"/>
            </w:pPr>
            <w:r>
              <w:rPr>
                <w:rFonts w:hint="eastAsia"/>
              </w:rPr>
              <w:t>　</w:t>
            </w:r>
          </w:p>
        </w:tc>
      </w:tr>
      <w:tr>
        <w:tblPrEx>
          <w:tblLayout w:type="fixed"/>
          <w:tblCellMar>
            <w:top w:w="0" w:type="dxa"/>
            <w:left w:w="108" w:type="dxa"/>
            <w:bottom w:w="0" w:type="dxa"/>
            <w:right w:w="108" w:type="dxa"/>
          </w:tblCellMar>
        </w:tblPrEx>
        <w:trPr>
          <w:trHeight w:val="285" w:hRule="atLeast"/>
        </w:trPr>
        <w:tc>
          <w:tcPr>
            <w:tcW w:w="1080" w:type="dxa"/>
            <w:tcBorders>
              <w:top w:val="nil"/>
              <w:left w:val="nil"/>
              <w:bottom w:val="nil"/>
              <w:right w:val="nil"/>
            </w:tcBorders>
            <w:vAlign w:val="bottom"/>
          </w:tcPr>
          <w:p>
            <w:pPr>
              <w:snapToGrid w:val="0"/>
              <w:spacing w:line="360" w:lineRule="auto"/>
            </w:pPr>
            <w:r>
              <w:rPr>
                <w:rFonts w:hint="eastAsia"/>
              </w:rPr>
              <w:t>注：</w:t>
            </w:r>
          </w:p>
        </w:tc>
        <w:tc>
          <w:tcPr>
            <w:tcW w:w="1900" w:type="dxa"/>
            <w:tcBorders>
              <w:top w:val="nil"/>
              <w:left w:val="nil"/>
              <w:bottom w:val="nil"/>
              <w:right w:val="nil"/>
            </w:tcBorders>
            <w:vAlign w:val="center"/>
          </w:tcPr>
          <w:p>
            <w:pPr>
              <w:snapToGrid w:val="0"/>
              <w:spacing w:line="360" w:lineRule="auto"/>
            </w:pPr>
          </w:p>
        </w:tc>
        <w:tc>
          <w:tcPr>
            <w:tcW w:w="1900" w:type="dxa"/>
            <w:tcBorders>
              <w:top w:val="nil"/>
              <w:left w:val="nil"/>
              <w:bottom w:val="nil"/>
              <w:right w:val="nil"/>
            </w:tcBorders>
            <w:vAlign w:val="center"/>
          </w:tcPr>
          <w:p>
            <w:pPr>
              <w:snapToGrid w:val="0"/>
              <w:spacing w:line="360" w:lineRule="auto"/>
            </w:pPr>
          </w:p>
        </w:tc>
        <w:tc>
          <w:tcPr>
            <w:tcW w:w="4060" w:type="dxa"/>
            <w:tcBorders>
              <w:top w:val="nil"/>
              <w:left w:val="nil"/>
              <w:bottom w:val="nil"/>
              <w:right w:val="nil"/>
            </w:tcBorders>
            <w:vAlign w:val="center"/>
          </w:tcPr>
          <w:p>
            <w:pPr>
              <w:snapToGrid w:val="0"/>
              <w:spacing w:line="360" w:lineRule="auto"/>
            </w:pPr>
          </w:p>
        </w:tc>
      </w:tr>
      <w:tr>
        <w:tblPrEx>
          <w:tblLayout w:type="fixed"/>
          <w:tblCellMar>
            <w:top w:w="0" w:type="dxa"/>
            <w:left w:w="108" w:type="dxa"/>
            <w:bottom w:w="0" w:type="dxa"/>
            <w:right w:w="108" w:type="dxa"/>
          </w:tblCellMar>
        </w:tblPrEx>
        <w:trPr>
          <w:trHeight w:val="285" w:hRule="atLeast"/>
        </w:trPr>
        <w:tc>
          <w:tcPr>
            <w:tcW w:w="8940" w:type="dxa"/>
            <w:gridSpan w:val="4"/>
            <w:tcBorders>
              <w:top w:val="nil"/>
              <w:left w:val="nil"/>
              <w:bottom w:val="nil"/>
              <w:right w:val="nil"/>
            </w:tcBorders>
            <w:vAlign w:val="center"/>
          </w:tcPr>
          <w:p>
            <w:pPr>
              <w:snapToGrid w:val="0"/>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1、以正式印刷的纸版招标文件为准，电子版招标文件仅供投标人参考。当中文版与英文版有差异时，以中文版为准。</w:t>
            </w:r>
          </w:p>
          <w:p>
            <w:pPr>
              <w:snapToGrid w:val="0"/>
              <w:spacing w:line="360" w:lineRule="auto"/>
            </w:pPr>
            <w:r>
              <w:rPr>
                <w:rFonts w:hint="eastAsia"/>
                <w:color w:val="000000" w:themeColor="text1"/>
                <w14:textFill>
                  <w14:solidFill>
                    <w14:schemeClr w14:val="tx1"/>
                  </w14:solidFill>
                </w14:textFill>
              </w:rPr>
              <w:t>2、</w:t>
            </w:r>
            <w:r>
              <w:rPr>
                <w:rFonts w:hint="eastAsia" w:hAnsi="宋体" w:cs="宋体"/>
                <w:color w:val="000000" w:themeColor="text1"/>
                <w:szCs w:val="21"/>
                <w14:textFill>
                  <w14:solidFill>
                    <w14:schemeClr w14:val="tx1"/>
                  </w14:solidFill>
                </w14:textFill>
              </w:rPr>
              <w:t>请将登记表填写完整并加盖公章。</w:t>
            </w:r>
          </w:p>
          <w:p>
            <w:pPr>
              <w:snapToGrid w:val="0"/>
              <w:spacing w:line="360" w:lineRule="auto"/>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943ACF"/>
    <w:rsid w:val="04B43A8F"/>
    <w:rsid w:val="064F6EA1"/>
    <w:rsid w:val="41943ACF"/>
    <w:rsid w:val="58575B29"/>
    <w:rsid w:val="59DE2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spacing w:line="315" w:lineRule="atLeast"/>
    </w:pPr>
    <w:rPr>
      <w:rFonts w:ascii="宋体" w:hAnsi="Times New Roman" w:eastAsia="宋体" w:cs="Times New Roman"/>
      <w:sz w:val="21"/>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99"/>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before="120" w:line="120" w:lineRule="atLeast"/>
      <w:jc w:val="both"/>
    </w:pPr>
    <w:rPr>
      <w:rFonts w:ascii="Times New Roman"/>
      <w:spacing w:val="4"/>
      <w:sz w:val="18"/>
    </w:rPr>
  </w:style>
  <w:style w:type="character" w:styleId="4">
    <w:name w:val="Hyperlink"/>
    <w:qFormat/>
    <w:uiPriority w:val="99"/>
    <w:rPr>
      <w:color w:val="000000"/>
      <w:kern w:val="0"/>
      <w:sz w:val="24"/>
      <w:u w:val="none"/>
    </w:rPr>
  </w:style>
  <w:style w:type="paragraph" w:customStyle="1" w:styleId="6">
    <w:name w:val="标题一、"/>
    <w:basedOn w:val="1"/>
    <w:qFormat/>
    <w:uiPriority w:val="0"/>
    <w:pPr>
      <w:autoSpaceDE/>
      <w:autoSpaceDN/>
      <w:adjustRightInd/>
      <w:spacing w:beforeLines="100" w:afterLines="100" w:line="360" w:lineRule="auto"/>
      <w:jc w:val="center"/>
      <w:outlineLvl w:val="0"/>
    </w:pPr>
    <w:rPr>
      <w:rFonts w:ascii="黑体" w:eastAsia="黑体"/>
      <w:kern w:val="2"/>
      <w:sz w:val="32"/>
      <w:szCs w:val="32"/>
    </w:rPr>
  </w:style>
  <w:style w:type="paragraph" w:customStyle="1" w:styleId="7">
    <w:name w:val="中文正文、"/>
    <w:basedOn w:val="1"/>
    <w:qFormat/>
    <w:uiPriority w:val="0"/>
    <w:pPr>
      <w:autoSpaceDE/>
      <w:autoSpaceDN/>
      <w:adjustRightInd/>
      <w:spacing w:line="360" w:lineRule="auto"/>
      <w:ind w:firstLine="420" w:firstLineChars="200"/>
    </w:pPr>
    <w:rPr>
      <w:rFonts w:ascii="Times New Roman"/>
      <w:kern w:val="2"/>
      <w:szCs w:val="21"/>
    </w:rPr>
  </w:style>
  <w:style w:type="paragraph" w:customStyle="1" w:styleId="8">
    <w:name w:val="标题二、"/>
    <w:basedOn w:val="1"/>
    <w:qFormat/>
    <w:uiPriority w:val="0"/>
    <w:pPr>
      <w:autoSpaceDE/>
      <w:autoSpaceDN/>
      <w:adjustRightInd/>
      <w:spacing w:line="360" w:lineRule="auto"/>
      <w:ind w:firstLine="200" w:firstLineChars="200"/>
      <w:jc w:val="both"/>
      <w:outlineLvl w:val="2"/>
    </w:pPr>
    <w:rPr>
      <w:rFonts w:hAnsi="宋体"/>
      <w:b/>
      <w:kern w:val="2"/>
      <w:szCs w:val="21"/>
    </w:rPr>
  </w:style>
  <w:style w:type="paragraph" w:customStyle="1" w:styleId="9">
    <w:name w:val="p0"/>
    <w:basedOn w:val="1"/>
    <w:qFormat/>
    <w:uiPriority w:val="0"/>
    <w:pPr>
      <w:widowControl/>
      <w:autoSpaceDE/>
      <w:autoSpaceDN/>
      <w:adjustRightInd/>
      <w:spacing w:line="240" w:lineRule="auto"/>
      <w:jc w:val="both"/>
    </w:pPr>
    <w:rPr>
      <w:rFonts w:ascii="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2020-08-28T08:05:00Z</dcterms:created>
  <dc:creator>王小之</dc:creator>
  <cp:lastModifiedBy>陶序莹</cp:lastModifiedBy>
  <dcterms:modified xsi:type="dcterms:W3CDTF">2020-08-28T10:10:24Z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